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73" w:rsidRDefault="00852A73" w:rsidP="00852A73">
      <w:pPr>
        <w:pStyle w:val="1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ascii="宋体" w:eastAsia="宋体" w:hAnsi="宋体" w:cs="宋体"/>
          <w:w w:val="80"/>
          <w:szCs w:val="44"/>
        </w:rPr>
      </w:pPr>
      <w:r>
        <w:rPr>
          <w:rFonts w:ascii="宋体" w:eastAsia="宋体" w:hAnsi="宋体" w:cs="宋体" w:hint="eastAsia"/>
          <w:w w:val="80"/>
          <w:szCs w:val="44"/>
        </w:rPr>
        <w:t>江苏省南通市人民检察院高低压电气设备维保服务项目需求</w:t>
      </w:r>
    </w:p>
    <w:p w:rsidR="00852A73" w:rsidRDefault="00852A73" w:rsidP="00B318B3">
      <w:pPr>
        <w:ind w:firstLineChars="195" w:firstLine="470"/>
        <w:jc w:val="left"/>
        <w:rPr>
          <w:b/>
          <w:sz w:val="24"/>
        </w:rPr>
      </w:pPr>
      <w:r>
        <w:rPr>
          <w:rFonts w:hint="eastAsia"/>
          <w:b/>
          <w:sz w:val="24"/>
        </w:rPr>
        <w:t>一、服务内容：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1.维护10KV变电所内的高压一次部分、高压二次部分、配电变压器等进行年度预防性试验，迅速处理突发事故，积极配合甲方及时恢复正常供电，确保院方安全用电，可靠供电，经济运行。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2.工作场所：江苏省南通市人民检察院内</w:t>
      </w:r>
      <w:r w:rsidR="00CF2F80">
        <w:rPr>
          <w:rFonts w:ascii="宋体" w:hAnsi="宋体" w:cs="宋体" w:hint="eastAsia"/>
          <w:sz w:val="24"/>
        </w:rPr>
        <w:t>（南通市崇川区濠南路251号）</w:t>
      </w:r>
      <w:r>
        <w:rPr>
          <w:rFonts w:ascii="宋体" w:hAnsi="宋体" w:cs="宋体" w:hint="eastAsia"/>
          <w:sz w:val="24"/>
        </w:rPr>
        <w:t>。</w:t>
      </w:r>
    </w:p>
    <w:p w:rsidR="00852A73" w:rsidRDefault="00852A73" w:rsidP="00852A73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3.维保内容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A、院方变电室（箱变）：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10KV变电所内的高压柜、变压器。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B、检修内容：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种开关动作试验；电缆绝缘试验；变压器直流电阻、交流电阻、绝缘测试；母线的绝缘、耐压测试；电气屏内设备（电流、电压互感器、继保、仪表等）检查测试校验；二次回路测试；变电室避雷、接地系统测试等。</w:t>
      </w:r>
    </w:p>
    <w:p w:rsidR="00E9759F" w:rsidRDefault="00852A73" w:rsidP="00E9759F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4.招标范围内电气设备的故障排除。</w:t>
      </w:r>
    </w:p>
    <w:p w:rsidR="00852A73" w:rsidRPr="00E9759F" w:rsidRDefault="00852A73" w:rsidP="00857D7E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 w:rsidRPr="00857D7E">
        <w:rPr>
          <w:rFonts w:ascii="宋体" w:hAnsi="宋体" w:cs="宋体" w:hint="eastAsia"/>
          <w:sz w:val="24"/>
        </w:rPr>
        <w:t>二、招标有效期</w:t>
      </w:r>
    </w:p>
    <w:p w:rsidR="00E9759F" w:rsidRPr="00857D7E" w:rsidRDefault="00852A73" w:rsidP="00857D7E">
      <w:pPr>
        <w:snapToGrid w:val="0"/>
        <w:spacing w:line="48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857D7E">
        <w:rPr>
          <w:rFonts w:ascii="宋体" w:hAnsi="宋体" w:cs="宋体" w:hint="eastAsia"/>
          <w:sz w:val="24"/>
        </w:rPr>
        <w:t>本项目招标有效期三年</w:t>
      </w:r>
      <w:bookmarkStart w:id="0" w:name="_GoBack"/>
      <w:bookmarkEnd w:id="0"/>
      <w:r w:rsidRPr="00857D7E">
        <w:rPr>
          <w:rFonts w:ascii="宋体" w:hAnsi="宋体" w:cs="宋体" w:hint="eastAsia"/>
          <w:sz w:val="24"/>
        </w:rPr>
        <w:t>。</w:t>
      </w:r>
      <w:r w:rsidR="00265C9F" w:rsidRPr="00857D7E">
        <w:rPr>
          <w:rFonts w:ascii="宋体" w:hAnsi="宋体" w:cs="宋体" w:hint="eastAsia"/>
          <w:sz w:val="24"/>
        </w:rPr>
        <w:t>合同一年一签，实施起始时间以采购人</w:t>
      </w:r>
      <w:r w:rsidR="00B33C26">
        <w:rPr>
          <w:rFonts w:ascii="宋体" w:hAnsi="宋体" w:cs="宋体" w:hint="eastAsia"/>
          <w:sz w:val="24"/>
        </w:rPr>
        <w:t>与供应商签订合同</w:t>
      </w:r>
      <w:r w:rsidR="00265C9F" w:rsidRPr="00857D7E">
        <w:rPr>
          <w:rFonts w:ascii="宋体" w:hAnsi="宋体" w:cs="宋体" w:hint="eastAsia"/>
          <w:sz w:val="24"/>
        </w:rPr>
        <w:t>确定的</w:t>
      </w:r>
      <w:r w:rsidR="001E7FA7">
        <w:rPr>
          <w:rFonts w:ascii="宋体" w:hAnsi="宋体" w:cs="宋体" w:hint="eastAsia"/>
          <w:sz w:val="24"/>
        </w:rPr>
        <w:t>日期和履约</w:t>
      </w:r>
      <w:r w:rsidR="00265C9F" w:rsidRPr="00857D7E">
        <w:rPr>
          <w:rFonts w:ascii="宋体" w:hAnsi="宋体" w:cs="宋体" w:hint="eastAsia"/>
          <w:sz w:val="24"/>
        </w:rPr>
        <w:t>期限为准，本次报价为年度报价。</w:t>
      </w:r>
    </w:p>
    <w:p w:rsidR="00852A73" w:rsidRPr="00857D7E" w:rsidRDefault="00852A73" w:rsidP="00857D7E">
      <w:pPr>
        <w:snapToGrid w:val="0"/>
        <w:spacing w:line="48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857D7E">
        <w:rPr>
          <w:rFonts w:ascii="宋体" w:hAnsi="宋体" w:cs="宋体" w:hint="eastAsia"/>
          <w:sz w:val="24"/>
        </w:rPr>
        <w:t>三、服务要求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1、设备维保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采购人用电实际情况，每年一次（具体时间供应商提前十天与采购人商定检修时间，并共同签署认可）对各配电间（箱变）的供电设备进行年检，协助办理维护、故障维护的送电联系手续。年检全部完成后十个工作日内出具检测报告。供电设备包括：变压器、高压开关柜、避雷器、高压电缆、低压开关柜、电容器、接地系统、母线系统、出线电缆（专用变电所低压出线至第一级动力柜进线侧）等。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2、日常巡查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每月度对各配电间（箱变）、电气设备的运行情况巡查不少于一次</w:t>
      </w:r>
      <w:r w:rsidR="0029484C">
        <w:rPr>
          <w:rFonts w:ascii="宋体" w:hAnsi="宋体" w:cs="宋体" w:hint="eastAsia"/>
          <w:sz w:val="24"/>
        </w:rPr>
        <w:t>，在现场做好巡查记录表，发现故障或异常情况需及时通报，优质高效地</w:t>
      </w:r>
      <w:r>
        <w:rPr>
          <w:rFonts w:ascii="宋体" w:hAnsi="宋体" w:cs="宋体" w:hint="eastAsia"/>
          <w:sz w:val="24"/>
        </w:rPr>
        <w:t>提供维护及故障排除服务，保证采购人机房高压电气设备的正常运行，确保采购人电气设备年维</w:t>
      </w:r>
      <w:r>
        <w:rPr>
          <w:rFonts w:ascii="宋体" w:hAnsi="宋体" w:cs="宋体" w:hint="eastAsia"/>
          <w:sz w:val="24"/>
        </w:rPr>
        <w:lastRenderedPageBreak/>
        <w:t>护率。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3、故障维修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在接到院方故障报修后，供应商在第一时间派员到现场处理故障（不超过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0分钟），帮助院方尽快恢复正常用电。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4.其它要求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（1）在整个维护过程中，供应商应做好详细记录，并由双方现场人员签证。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（2）根据采购人需求，供应商提供必要的技术咨询服务，帮助采购人提高对高压电气设备的管理水平；</w:t>
      </w:r>
      <w:r w:rsidRPr="00857D7E">
        <w:rPr>
          <w:rFonts w:ascii="宋体" w:hAnsi="宋体" w:cs="宋体" w:hint="eastAsia"/>
          <w:sz w:val="24"/>
        </w:rPr>
        <w:t>对采购人配电间配套安全用具、工具及时进行年检，检查防护设施是否齐全，发现不合格或存在安全隐患及时通报采购人进行更换，完善防护设施，消除安全隐患</w:t>
      </w:r>
      <w:r>
        <w:rPr>
          <w:rFonts w:ascii="宋体" w:hAnsi="宋体" w:cs="宋体" w:hint="eastAsia"/>
          <w:sz w:val="24"/>
        </w:rPr>
        <w:t>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（3）供应商的维护人员必须具备</w:t>
      </w:r>
      <w:r>
        <w:rPr>
          <w:rFonts w:hint="eastAsia"/>
          <w:sz w:val="24"/>
          <w:shd w:val="clear" w:color="auto" w:fill="FFFFFF"/>
        </w:rPr>
        <w:t>高压电工操作资格证书</w:t>
      </w:r>
      <w:r>
        <w:rPr>
          <w:rFonts w:ascii="宋体" w:hAnsi="宋体" w:cs="宋体" w:hint="eastAsia"/>
          <w:sz w:val="24"/>
        </w:rPr>
        <w:t>，并且身体满足上岗条件，供应商必须详细列出维修人员名单和持证情况。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供应商必须按照国家规定和行业要求配备专业的电工操作人员，并按规程操作。应保证操作上岗人员符合上岗条件、包括对操作人员进行必要的业务培训考核。任何发生在维护服务过程中的安全责任事故全部由供应商负责，与采购人无关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应负责提供从事本项目业务的工具器材、检验设备、交通工具等，一般维修保养不另收费；运行设备元气件损坏需更换时所发生的材料由采购人提供，人工费不计；设备（变压器、高低压配电柜及连接部件）损坏更换时所发生的材料及人工费需双方协商现场签证认可</w:t>
      </w:r>
      <w:r w:rsidR="006146C6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并</w:t>
      </w:r>
      <w:r w:rsidR="009814E0"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sz w:val="24"/>
        </w:rPr>
        <w:t>恢复正常供电后15个工作日内按实一次性支付给中标人。</w:t>
      </w:r>
    </w:p>
    <w:p w:rsidR="00ED65F0" w:rsidRDefault="00852A73" w:rsidP="00ED65F0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（6）维保服务履约期间</w:t>
      </w:r>
      <w:r w:rsidR="007327DA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供应商拟投入本项目的项目组人员需全天24小时待命。</w:t>
      </w:r>
    </w:p>
    <w:p w:rsidR="00ED65F0" w:rsidRPr="00ED65F0" w:rsidRDefault="00ED65F0" w:rsidP="00ED65F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ED65F0">
        <w:rPr>
          <w:rFonts w:ascii="宋体" w:hAnsi="宋体" w:cs="宋体" w:hint="eastAsia"/>
          <w:sz w:val="24"/>
        </w:rPr>
        <w:t>（7）</w:t>
      </w:r>
      <w:r>
        <w:rPr>
          <w:rFonts w:ascii="宋体" w:hAnsi="宋体" w:cs="宋体" w:hint="eastAsia"/>
          <w:sz w:val="24"/>
        </w:rPr>
        <w:t>维保服务履约期间</w:t>
      </w:r>
      <w:r w:rsidR="007327DA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供应商到采购方</w:t>
      </w:r>
      <w:r w:rsidR="007327DA">
        <w:rPr>
          <w:rFonts w:ascii="宋体" w:hAnsi="宋体" w:cs="宋体" w:hint="eastAsia"/>
          <w:sz w:val="24"/>
        </w:rPr>
        <w:t>从事维保服务业务</w:t>
      </w:r>
      <w:r>
        <w:rPr>
          <w:rFonts w:ascii="宋体" w:hAnsi="宋体" w:cs="宋体" w:hint="eastAsia"/>
          <w:sz w:val="24"/>
        </w:rPr>
        <w:t>的</w:t>
      </w:r>
      <w:r w:rsidRPr="00ED65F0">
        <w:rPr>
          <w:rFonts w:ascii="宋体" w:hAnsi="宋体" w:cs="宋体" w:hint="eastAsia"/>
          <w:sz w:val="24"/>
        </w:rPr>
        <w:t>安全责任由供应商负责。</w:t>
      </w:r>
    </w:p>
    <w:p w:rsidR="00B318B3" w:rsidRDefault="00852A73" w:rsidP="00B318B3">
      <w:pPr>
        <w:snapToGrid w:val="0"/>
        <w:spacing w:line="440" w:lineRule="exact"/>
        <w:ind w:firstLineChars="206" w:firstLine="496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四、付款方式</w:t>
      </w:r>
    </w:p>
    <w:p w:rsidR="00B318B3" w:rsidRPr="00B318B3" w:rsidRDefault="00852A73" w:rsidP="00B318B3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维保设备年度检测完毕</w:t>
      </w:r>
      <w:r w:rsidR="00BC0471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并出具相关测试报告且年度服务期满一个月前，成交供应商开具相应正式发票后</w:t>
      </w:r>
      <w:r w:rsidR="00BC047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采购人于当年12月底前支付当年维保费。</w:t>
      </w:r>
    </w:p>
    <w:p w:rsidR="00B318B3" w:rsidRPr="00286A79" w:rsidRDefault="00B318B3" w:rsidP="00B318B3">
      <w:pPr>
        <w:pStyle w:val="a5"/>
        <w:shd w:val="clear" w:color="auto" w:fill="FFFFFF"/>
        <w:spacing w:before="300" w:beforeAutospacing="0" w:after="0" w:afterAutospacing="0" w:line="560" w:lineRule="exact"/>
        <w:ind w:right="320"/>
        <w:jc w:val="right"/>
        <w:rPr>
          <w:rFonts w:ascii="仿宋" w:eastAsia="仿宋" w:hAnsi="仿宋"/>
          <w:color w:val="2C2C2C"/>
          <w:sz w:val="32"/>
          <w:szCs w:val="32"/>
        </w:rPr>
      </w:pPr>
      <w:r w:rsidRPr="00286A79">
        <w:rPr>
          <w:rFonts w:ascii="仿宋" w:eastAsia="仿宋" w:hAnsi="仿宋" w:hint="eastAsia"/>
          <w:color w:val="2C2C2C"/>
          <w:sz w:val="32"/>
          <w:szCs w:val="32"/>
        </w:rPr>
        <w:t>江苏省南通市人民检察院</w:t>
      </w:r>
    </w:p>
    <w:p w:rsidR="00B318B3" w:rsidRPr="00286A79" w:rsidRDefault="00B318B3" w:rsidP="00B318B3">
      <w:pPr>
        <w:pStyle w:val="a5"/>
        <w:shd w:val="clear" w:color="auto" w:fill="FFFFFF"/>
        <w:spacing w:before="300" w:beforeAutospacing="0" w:after="0" w:afterAutospacing="0" w:line="560" w:lineRule="exact"/>
        <w:ind w:right="480"/>
        <w:jc w:val="right"/>
        <w:rPr>
          <w:rFonts w:ascii="仿宋" w:eastAsia="仿宋" w:hAnsi="仿宋"/>
          <w:color w:val="2C2C2C"/>
          <w:sz w:val="32"/>
          <w:szCs w:val="32"/>
        </w:rPr>
      </w:pPr>
      <w:r w:rsidRPr="00286A79">
        <w:rPr>
          <w:rFonts w:ascii="仿宋" w:eastAsia="仿宋" w:hAnsi="仿宋" w:hint="eastAsia"/>
          <w:color w:val="2C2C2C"/>
          <w:sz w:val="32"/>
          <w:szCs w:val="32"/>
        </w:rPr>
        <w:lastRenderedPageBreak/>
        <w:t>2024年11月25日</w:t>
      </w:r>
    </w:p>
    <w:sectPr w:rsidR="00B318B3" w:rsidRPr="00286A79" w:rsidSect="0024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9A" w:rsidRDefault="00EC319A" w:rsidP="00265C9F">
      <w:r>
        <w:separator/>
      </w:r>
    </w:p>
  </w:endnote>
  <w:endnote w:type="continuationSeparator" w:id="1">
    <w:p w:rsidR="00EC319A" w:rsidRDefault="00EC319A" w:rsidP="00265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9A" w:rsidRDefault="00EC319A" w:rsidP="00265C9F">
      <w:r>
        <w:separator/>
      </w:r>
    </w:p>
  </w:footnote>
  <w:footnote w:type="continuationSeparator" w:id="1">
    <w:p w:rsidR="00EC319A" w:rsidRDefault="00EC319A" w:rsidP="00265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A73"/>
    <w:rsid w:val="000E34CB"/>
    <w:rsid w:val="001E7FA7"/>
    <w:rsid w:val="002410D3"/>
    <w:rsid w:val="00265C9F"/>
    <w:rsid w:val="0029484C"/>
    <w:rsid w:val="002D1688"/>
    <w:rsid w:val="00316FA9"/>
    <w:rsid w:val="006146C6"/>
    <w:rsid w:val="006A1FC9"/>
    <w:rsid w:val="0072526B"/>
    <w:rsid w:val="007327DA"/>
    <w:rsid w:val="00852A73"/>
    <w:rsid w:val="00857D7E"/>
    <w:rsid w:val="009814E0"/>
    <w:rsid w:val="00AF45A6"/>
    <w:rsid w:val="00B00FA8"/>
    <w:rsid w:val="00B318B3"/>
    <w:rsid w:val="00B33C26"/>
    <w:rsid w:val="00B408A9"/>
    <w:rsid w:val="00BC0471"/>
    <w:rsid w:val="00C92302"/>
    <w:rsid w:val="00CF2F80"/>
    <w:rsid w:val="00E439F8"/>
    <w:rsid w:val="00E9759F"/>
    <w:rsid w:val="00EC319A"/>
    <w:rsid w:val="00ED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52A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52A73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2A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2A73"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852A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6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C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C9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B31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dcterms:created xsi:type="dcterms:W3CDTF">2024-11-22T09:35:00Z</dcterms:created>
  <dcterms:modified xsi:type="dcterms:W3CDTF">2024-11-25T03:03:00Z</dcterms:modified>
</cp:coreProperties>
</file>