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cs="宋体"/>
          <w:b/>
          <w:bCs/>
          <w:color w:val="auto"/>
          <w:w w:val="80"/>
          <w:kern w:val="44"/>
          <w:sz w:val="36"/>
          <w:szCs w:val="36"/>
          <w:highlight w:val="none"/>
        </w:rPr>
      </w:pPr>
      <w:bookmarkStart w:id="0" w:name="_GoBack"/>
      <w:r>
        <w:rPr>
          <w:rFonts w:hint="eastAsia" w:ascii="宋体" w:hAnsi="宋体" w:cs="宋体"/>
          <w:b/>
          <w:bCs/>
          <w:color w:val="auto"/>
          <w:w w:val="80"/>
          <w:kern w:val="44"/>
          <w:sz w:val="36"/>
          <w:szCs w:val="36"/>
          <w:highlight w:val="none"/>
        </w:rPr>
        <w:t>江苏省南通市人民检察院围墙维修项目</w:t>
      </w:r>
      <w:r>
        <w:rPr>
          <w:rFonts w:hint="eastAsia" w:ascii="宋体" w:hAnsi="宋体" w:cs="宋体"/>
          <w:b/>
          <w:bCs/>
          <w:color w:val="auto"/>
          <w:w w:val="80"/>
          <w:kern w:val="44"/>
          <w:sz w:val="36"/>
          <w:szCs w:val="36"/>
          <w:highlight w:val="none"/>
        </w:rPr>
        <w:t>需求</w:t>
      </w:r>
    </w:p>
    <w:p>
      <w:pPr>
        <w:spacing w:line="480" w:lineRule="exact"/>
        <w:jc w:val="center"/>
        <w:rPr>
          <w:rFonts w:hint="eastAsia" w:ascii="宋体" w:hAnsi="宋体" w:cs="宋体"/>
          <w:b/>
          <w:bCs/>
          <w:color w:val="auto"/>
          <w:w w:val="80"/>
          <w:kern w:val="44"/>
          <w:sz w:val="36"/>
          <w:szCs w:val="36"/>
          <w:highlight w:val="none"/>
        </w:rPr>
      </w:pPr>
    </w:p>
    <w:bookmarkEnd w:id="0"/>
    <w:p>
      <w:pPr>
        <w:pStyle w:val="7"/>
        <w:numPr>
          <w:ilvl w:val="0"/>
          <w:numId w:val="2"/>
        </w:numPr>
        <w:shd w:val="clear" w:color="auto" w:fill="FFFFFF"/>
        <w:spacing w:line="360" w:lineRule="auto"/>
        <w:rPr>
          <w:rFonts w:hint="eastAsia"/>
          <w:b/>
          <w:bCs/>
          <w:color w:val="auto"/>
          <w:highlight w:val="none"/>
          <w:shd w:val="clear" w:color="auto" w:fill="FFFFFF"/>
        </w:rPr>
      </w:pPr>
      <w:r>
        <w:rPr>
          <w:rFonts w:hint="eastAsia"/>
          <w:b/>
          <w:bCs/>
          <w:color w:val="auto"/>
          <w:highlight w:val="none"/>
          <w:shd w:val="clear" w:color="auto" w:fill="FFFFFF"/>
        </w:rPr>
        <w:t>项目概况</w:t>
      </w:r>
    </w:p>
    <w:p>
      <w:pPr>
        <w:pStyle w:val="8"/>
        <w:ind w:left="0" w:leftChars="0" w:firstLine="0" w:firstLineChars="0"/>
        <w:jc w:val="left"/>
        <w:rPr>
          <w:rFonts w:ascii="宋体" w:hAnsi="宋体" w:cs="宋体"/>
          <w:b/>
          <w:bCs/>
          <w:color w:val="auto"/>
          <w:kern w:val="0"/>
          <w:sz w:val="24"/>
          <w:highlight w:val="none"/>
          <w:shd w:val="clear" w:color="auto" w:fill="FFFFFF"/>
        </w:rPr>
      </w:pPr>
      <w:r>
        <w:rPr>
          <w:rFonts w:hint="eastAsia" w:cs="宋体"/>
          <w:b/>
          <w:bCs/>
          <w:color w:val="auto"/>
          <w:highlight w:val="none"/>
          <w:shd w:val="clear" w:color="auto" w:fill="FFFFFF"/>
        </w:rPr>
        <w:t xml:space="preserve">  </w:t>
      </w:r>
      <w:r>
        <w:rPr>
          <w:rFonts w:hint="eastAsia" w:ascii="宋体" w:hAnsi="宋体" w:cs="宋体"/>
          <w:b/>
          <w:bCs/>
          <w:color w:val="auto"/>
          <w:kern w:val="0"/>
          <w:sz w:val="24"/>
          <w:highlight w:val="none"/>
          <w:shd w:val="clear" w:color="auto" w:fill="FFFFFF"/>
        </w:rPr>
        <w:t xml:space="preserve"> 江苏省南通市人民检察院东围墙拟重新铲除原饰面重新粉刷。重新粉刷饰面仍用真石漆，颜色仍与原色相近，与周边风格保持协调。</w:t>
      </w:r>
    </w:p>
    <w:p>
      <w:pPr>
        <w:pStyle w:val="7"/>
        <w:shd w:val="clear" w:color="auto" w:fill="FFFFFF"/>
        <w:spacing w:line="360" w:lineRule="auto"/>
        <w:rPr>
          <w:rFonts w:hint="eastAsia"/>
          <w:b/>
          <w:bCs/>
          <w:color w:val="auto"/>
          <w:highlight w:val="none"/>
          <w:shd w:val="clear" w:color="auto" w:fill="FFFFFF"/>
        </w:rPr>
      </w:pPr>
      <w:r>
        <w:rPr>
          <w:rFonts w:hint="eastAsia"/>
          <w:b/>
          <w:bCs/>
          <w:color w:val="auto"/>
          <w:highlight w:val="none"/>
          <w:shd w:val="clear" w:color="auto" w:fill="FFFFFF"/>
        </w:rPr>
        <w:t>二、工程量清单</w:t>
      </w:r>
    </w:p>
    <w:tbl>
      <w:tblPr>
        <w:tblStyle w:val="9"/>
        <w:tblW w:w="9211" w:type="dxa"/>
        <w:jc w:val="center"/>
        <w:tblLayout w:type="autofit"/>
        <w:tblCellMar>
          <w:top w:w="0" w:type="dxa"/>
          <w:left w:w="0" w:type="dxa"/>
          <w:bottom w:w="0" w:type="dxa"/>
          <w:right w:w="0" w:type="dxa"/>
        </w:tblCellMar>
      </w:tblPr>
      <w:tblGrid>
        <w:gridCol w:w="609"/>
        <w:gridCol w:w="2215"/>
        <w:gridCol w:w="3473"/>
        <w:gridCol w:w="1277"/>
        <w:gridCol w:w="1637"/>
      </w:tblGrid>
      <w:tr>
        <w:tblPrEx>
          <w:tblCellMar>
            <w:top w:w="0" w:type="dxa"/>
            <w:left w:w="0" w:type="dxa"/>
            <w:bottom w:w="0" w:type="dxa"/>
            <w:right w:w="0" w:type="dxa"/>
          </w:tblCellMar>
        </w:tblPrEx>
        <w:trPr>
          <w:trHeight w:val="567"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bCs/>
                <w:color w:val="auto"/>
                <w:kern w:val="0"/>
                <w:sz w:val="20"/>
                <w:szCs w:val="20"/>
                <w:highlight w:val="none"/>
                <w:lang w:bidi="ar"/>
              </w:rPr>
            </w:pPr>
            <w:r>
              <w:rPr>
                <w:rFonts w:hint="eastAsia" w:ascii="宋体" w:hAnsi="宋体" w:cs="宋体"/>
                <w:b/>
                <w:bCs/>
                <w:color w:val="auto"/>
                <w:kern w:val="0"/>
                <w:sz w:val="20"/>
                <w:szCs w:val="20"/>
                <w:highlight w:val="none"/>
                <w:lang w:bidi="ar"/>
              </w:rPr>
              <w:t>序号</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bCs/>
                <w:color w:val="auto"/>
                <w:kern w:val="0"/>
                <w:sz w:val="20"/>
                <w:szCs w:val="20"/>
                <w:highlight w:val="none"/>
                <w:lang w:bidi="ar"/>
              </w:rPr>
            </w:pPr>
            <w:r>
              <w:rPr>
                <w:rFonts w:hint="eastAsia" w:ascii="宋体" w:hAnsi="宋体" w:cs="宋体"/>
                <w:b/>
                <w:bCs/>
                <w:color w:val="auto"/>
                <w:kern w:val="0"/>
                <w:sz w:val="20"/>
                <w:szCs w:val="20"/>
                <w:highlight w:val="none"/>
                <w:lang w:bidi="ar"/>
              </w:rPr>
              <w:t>项目名称</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bCs/>
                <w:color w:val="auto"/>
                <w:kern w:val="0"/>
                <w:sz w:val="20"/>
                <w:szCs w:val="20"/>
                <w:highlight w:val="none"/>
                <w:lang w:bidi="ar"/>
              </w:rPr>
            </w:pPr>
            <w:r>
              <w:rPr>
                <w:rFonts w:hint="eastAsia" w:ascii="宋体" w:hAnsi="宋体" w:cs="宋体"/>
                <w:b/>
                <w:bCs/>
                <w:color w:val="auto"/>
                <w:kern w:val="0"/>
                <w:sz w:val="20"/>
                <w:szCs w:val="20"/>
                <w:highlight w:val="none"/>
                <w:lang w:bidi="ar"/>
              </w:rPr>
              <w:t>项目特征描述</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bCs/>
                <w:color w:val="auto"/>
                <w:kern w:val="0"/>
                <w:sz w:val="20"/>
                <w:szCs w:val="20"/>
                <w:highlight w:val="none"/>
                <w:lang w:bidi="ar"/>
              </w:rPr>
            </w:pPr>
            <w:r>
              <w:rPr>
                <w:rFonts w:hint="eastAsia" w:ascii="宋体" w:hAnsi="宋体" w:cs="宋体"/>
                <w:b/>
                <w:bCs/>
                <w:color w:val="auto"/>
                <w:kern w:val="0"/>
                <w:sz w:val="20"/>
                <w:szCs w:val="20"/>
                <w:highlight w:val="none"/>
                <w:lang w:bidi="ar"/>
              </w:rPr>
              <w:t>计量单位</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bCs/>
                <w:color w:val="auto"/>
                <w:kern w:val="0"/>
                <w:sz w:val="20"/>
                <w:szCs w:val="20"/>
                <w:highlight w:val="none"/>
                <w:lang w:bidi="ar"/>
              </w:rPr>
            </w:pPr>
            <w:r>
              <w:rPr>
                <w:rFonts w:hint="eastAsia" w:ascii="宋体" w:hAnsi="宋体" w:cs="宋体"/>
                <w:b/>
                <w:bCs/>
                <w:color w:val="auto"/>
                <w:kern w:val="0"/>
                <w:sz w:val="20"/>
                <w:szCs w:val="20"/>
                <w:highlight w:val="none"/>
                <w:lang w:bidi="ar"/>
              </w:rPr>
              <w:t>工程量</w:t>
            </w:r>
          </w:p>
        </w:tc>
      </w:tr>
      <w:tr>
        <w:tblPrEx>
          <w:tblCellMar>
            <w:top w:w="0" w:type="dxa"/>
            <w:left w:w="0" w:type="dxa"/>
            <w:bottom w:w="0" w:type="dxa"/>
            <w:right w:w="0" w:type="dxa"/>
          </w:tblCellMar>
        </w:tblPrEx>
        <w:trPr>
          <w:trHeight w:val="1102"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铲除涂料面</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1.清理干净原外墙面层、污染的墙面；铲平已松动、空鼓、开裂的外墙面砖和粉饰层</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220</w:t>
            </w:r>
          </w:p>
        </w:tc>
      </w:tr>
      <w:tr>
        <w:tblPrEx>
          <w:tblCellMar>
            <w:top w:w="0" w:type="dxa"/>
            <w:left w:w="0" w:type="dxa"/>
            <w:bottom w:w="0" w:type="dxa"/>
            <w:right w:w="0" w:type="dxa"/>
          </w:tblCellMar>
        </w:tblPrEx>
        <w:trPr>
          <w:trHeight w:val="567"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基层处理</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热镀锌钢丝网加固</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386</w:t>
            </w:r>
          </w:p>
        </w:tc>
      </w:tr>
      <w:tr>
        <w:tblPrEx>
          <w:tblCellMar>
            <w:top w:w="0" w:type="dxa"/>
            <w:left w:w="0" w:type="dxa"/>
            <w:bottom w:w="0" w:type="dxa"/>
            <w:right w:w="0" w:type="dxa"/>
          </w:tblCellMar>
        </w:tblPrEx>
        <w:trPr>
          <w:trHeight w:val="567"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墙面一般抹灰</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1.防水水泥砂浆找平、与原墙平齐</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220</w:t>
            </w:r>
          </w:p>
        </w:tc>
      </w:tr>
      <w:tr>
        <w:tblPrEx>
          <w:tblCellMar>
            <w:top w:w="0" w:type="dxa"/>
            <w:left w:w="0" w:type="dxa"/>
            <w:bottom w:w="0" w:type="dxa"/>
            <w:right w:w="0" w:type="dxa"/>
          </w:tblCellMar>
        </w:tblPrEx>
        <w:trPr>
          <w:trHeight w:val="567"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墙面基层处理刷界面剂</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386</w:t>
            </w:r>
          </w:p>
        </w:tc>
      </w:tr>
      <w:tr>
        <w:tblPrEx>
          <w:tblCellMar>
            <w:top w:w="0" w:type="dxa"/>
            <w:left w:w="0" w:type="dxa"/>
            <w:bottom w:w="0" w:type="dxa"/>
            <w:right w:w="0" w:type="dxa"/>
          </w:tblCellMar>
        </w:tblPrEx>
        <w:trPr>
          <w:trHeight w:val="736"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真石漆饰面</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1.刮腻子、涂刷封底、分格、搅匀后喷涂真石漆2遍，涂刷透罩光面漆2遍</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386</w:t>
            </w:r>
          </w:p>
        </w:tc>
      </w:tr>
      <w:tr>
        <w:tblPrEx>
          <w:tblCellMar>
            <w:top w:w="0" w:type="dxa"/>
            <w:left w:w="0" w:type="dxa"/>
            <w:bottom w:w="0" w:type="dxa"/>
            <w:right w:w="0" w:type="dxa"/>
          </w:tblCellMar>
        </w:tblPrEx>
        <w:trPr>
          <w:trHeight w:val="567"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垃圾清运</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垃圾袋装及外运</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项</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1</w:t>
            </w:r>
          </w:p>
        </w:tc>
      </w:tr>
      <w:tr>
        <w:tblPrEx>
          <w:tblCellMar>
            <w:top w:w="0" w:type="dxa"/>
            <w:left w:w="0" w:type="dxa"/>
            <w:bottom w:w="0" w:type="dxa"/>
            <w:right w:w="0" w:type="dxa"/>
          </w:tblCellMar>
        </w:tblPrEx>
        <w:trPr>
          <w:trHeight w:val="567" w:hRule="exact"/>
          <w:jc w:val="center"/>
        </w:trPr>
        <w:tc>
          <w:tcPr>
            <w:tcW w:w="60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2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外脚手架</w:t>
            </w:r>
          </w:p>
        </w:tc>
        <w:tc>
          <w:tcPr>
            <w:tcW w:w="3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项</w:t>
            </w:r>
          </w:p>
        </w:tc>
        <w:tc>
          <w:tcPr>
            <w:tcW w:w="1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1</w:t>
            </w:r>
          </w:p>
        </w:tc>
      </w:tr>
    </w:tbl>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二、工程质量要求</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1、工程质量必须达到国家施工质量验收规范合格标准。</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2、隐蔽工程检查</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成交供应商提前通知采购人代表隐蔽工程检查的期限的约定：共同检查前</w:t>
      </w:r>
      <w:r>
        <w:rPr>
          <w:rFonts w:hint="eastAsia" w:ascii="宋体" w:hAnsi="宋体" w:cs="宋体"/>
          <w:color w:val="auto"/>
          <w:kern w:val="0"/>
          <w:sz w:val="24"/>
          <w:szCs w:val="24"/>
          <w:highlight w:val="none"/>
          <w:u w:val="single"/>
          <w:shd w:val="clear" w:color="auto" w:fill="FFFFFF"/>
          <w:lang w:bidi="ar"/>
        </w:rPr>
        <w:t>48</w:t>
      </w:r>
      <w:r>
        <w:rPr>
          <w:rFonts w:hint="eastAsia" w:ascii="宋体" w:hAnsi="宋体" w:cs="宋体"/>
          <w:color w:val="auto"/>
          <w:kern w:val="0"/>
          <w:sz w:val="24"/>
          <w:szCs w:val="24"/>
          <w:highlight w:val="none"/>
          <w:shd w:val="clear" w:color="auto" w:fill="FFFFFF"/>
          <w:lang w:bidi="ar"/>
        </w:rPr>
        <w:t>小时书面通知采购人代表。</w:t>
      </w: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三、材料的质量保证</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1、在工程保修期内，成交供应商对有缺陷的部位必须无偿地给予修理与更换，并承担一切由此引起的对采购人或第三者的直接损失，除非该缺陷是由于人为破坏或合同规定的不可抗因素造成的损坏。</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2、成交供应商必须对所承包工程的质量负全部责任，其责任不因其他材料生产商提供的保证书而减轻或更改。</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3、施工中使用的关键性原材料，原则上应一次性进场，统一封存，采购人有权委托有资质的权威检测部门对理、化和环保等指标进行随机抽检。抽检不合格禁止使用。</w:t>
      </w: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p>
    <w:p>
      <w:pPr>
        <w:widowControl/>
        <w:numPr>
          <w:ilvl w:val="0"/>
          <w:numId w:val="3"/>
        </w:numPr>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工程管理的要求</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（1）本工程发包范围内的工程项目，未经采购人同意一律不得分包。一经发现立即取消承包资格，作违约处理，并承担由此引起的一切经济损失。</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（2）成交供应商应严格按已确认施工技术方案组织施工，并无条件地接受采购人代表对施工质量的监督和管理。</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（3）成交供应商在工程施工全过程中要认真做好成品保护。因失窃或失火造成的损失均由成交供应商负责，凡由此而损及采购人利益时，采购人将向成交供应商索赔。</w:t>
      </w:r>
    </w:p>
    <w:p>
      <w:pPr>
        <w:widowControl/>
        <w:adjustRightInd w:val="0"/>
        <w:spacing w:line="360" w:lineRule="auto"/>
        <w:ind w:firstLine="480" w:firstLineChars="200"/>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4）供应商在询价响应文件中的承诺的管理人员未经采购人同意，成交供应商不得调换和撤离，并按工程进度及时到位。采购人有权要求成交供应商撤换工作不负责任、管理不力、贻误工期和造成严重的安全事故和工程质量事故、违法乱纪的专业技术、管理人员直至技术负责人，直至采购人满意为止。如相应资质的专业技术人员未按要求到位，视作违约，采购人有权单方面终止合同。</w:t>
      </w:r>
    </w:p>
    <w:p>
      <w:pPr>
        <w:pStyle w:val="2"/>
        <w:spacing w:before="0" w:after="0" w:line="360" w:lineRule="auto"/>
        <w:rPr>
          <w:rFonts w:hint="eastAsia" w:ascii="宋体" w:hAnsi="宋体" w:eastAsia="宋体" w:cs="宋体"/>
          <w:bCs/>
          <w:color w:val="auto"/>
          <w:sz w:val="24"/>
          <w:szCs w:val="24"/>
          <w:highlight w:val="none"/>
          <w:shd w:val="clear" w:color="auto" w:fill="FFFFFF"/>
          <w:lang w:bidi="ar"/>
        </w:rPr>
      </w:pPr>
    </w:p>
    <w:p>
      <w:pPr>
        <w:pStyle w:val="2"/>
        <w:spacing w:before="0" w:after="0" w:line="360" w:lineRule="auto"/>
        <w:rPr>
          <w:rFonts w:hint="eastAsia" w:ascii="宋体" w:hAnsi="宋体" w:eastAsia="宋体" w:cs="宋体"/>
          <w:bCs/>
          <w:color w:val="auto"/>
          <w:sz w:val="24"/>
          <w:szCs w:val="24"/>
          <w:highlight w:val="none"/>
          <w:shd w:val="clear" w:color="auto" w:fill="FFFFFF"/>
          <w:lang w:bidi="ar"/>
        </w:rPr>
      </w:pPr>
      <w:r>
        <w:rPr>
          <w:rFonts w:hint="eastAsia" w:ascii="宋体" w:hAnsi="宋体" w:eastAsia="宋体" w:cs="宋体"/>
          <w:bCs/>
          <w:color w:val="auto"/>
          <w:sz w:val="24"/>
          <w:szCs w:val="24"/>
          <w:highlight w:val="none"/>
          <w:shd w:val="clear" w:color="auto" w:fill="FFFFFF"/>
          <w:lang w:bidi="ar"/>
        </w:rPr>
        <w:t>五、安全文明施工与环境保护</w:t>
      </w:r>
    </w:p>
    <w:p>
      <w:pPr>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1、项目安全生产的达标目标及相应事项的约定：</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（2）承包人对施工现场安全生产负总责，现场必须按要求配备安全员，安全员及特种作业人员应持证上岗，如发包人检查到承包人人员不到位的，则发包人有权收取违约金。</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工程施工前和施工中，承包人项目经理或技术负责人应当对有关安全施工技术进行交底；承包人必须编制安全施工措施和施工现场临时用电、施工现场周边及主要通道的安全防护措施及其它有关法规要求的专项施工方案，专项施工方案必须经本单位技术负责人批准后，报发包人代表批准后实施。</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工程施工前，承包人应根据法律、法规、规范、标准等要求，制定安全施工标准及要求，负责向施工作业班组、作业人员作出详细的说明，并由双方签字确认。</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工程施工前，承包人使用的安全防护用具、机械设备、施工机具及配件，应当具有生产（制造）许可证、产品合格证，并在进入施工现场前进行查验，经采购人代表签字确认后方可使用。</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特种作业人员，必须按照国家有关规定经过专门的安全作业培训，并取得特种作业操作资格证书后，方可上岗作业。</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（4）承包人应严格按《建设工程安全生产管理条例》等法律、法规采取安全措施、组织施工，如发生事故，所造成的一切责任与后果均由承包人承担。</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建立安全制度、安全检查制度、安全教育制度、工地班前活动制度、文明施工检查制度。满足江苏省、南通市等安监部门安全文明生产的要求，做好安全技术教育及交底，落实所有安全技术措施和人身防护用品。</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（6）凡在施工期间，由于承包人原因造成的事故，需由承包人承担全部责任及由此引起的一切费用，发包人不承担任何责任，并视情节严重收取承包方违约金。</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关于治安保卫的特别约定：提供和维修非夜间施工使用的照明、围栏设施，并负责安全保卫。施工期间承包人按发包人要求做好成品保护工作；未竣工或已竣工工程未交付之前，由承包单位负责已完成工程的保护工作，所需费用含在报价内。对需要保护的产品和材料须保护期内发生损坏由承包人无条件、自费、限期予以修补。竣工合格交付后由发包人负责保护，如发包人有特殊要求的可另行补充协议加以约定。</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3、文明施工</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做好场地清理及相关工作。上述费用包含在合同价中。未能达到上述要求发包人有权扣除承包人20%违约金。若承包人现场施工作业面、办公区、生活区内清洁卫生满足不了文明施工要求，发包人有权安排其它单位或个人打扫，按具体发生的费用2倍及以上从进度款中扣除。承包人必须服从发包人现场的统一管理和协调，做到文明施工。施工现场要设立标语、标牌，做到文明施工，树立企业形象，主动接受社会监督和有关部门的管理。</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4、安全生产责任</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应严格按《建设工程安全生产管理条例》等法律、法规采取安全措施、组织施工，承包人须对本合同范围内所有施工范围和施工人员负全部安全施工责任。承包人应严格按工程建设安全生产地有关管理规定，采取安全措施组织施工。若发生安全事故，一切责任由承包方承担。</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若因承包人原因产生不良后果的，由承包人承担一切责任。</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六、工程质保期</w:t>
      </w:r>
    </w:p>
    <w:p>
      <w:pPr>
        <w:widowControl/>
        <w:shd w:val="clear" w:color="auto" w:fill="FFFFFF"/>
        <w:snapToGrid w:val="0"/>
        <w:spacing w:line="360" w:lineRule="auto"/>
        <w:ind w:firstLine="464" w:firstLineChars="200"/>
        <w:jc w:val="left"/>
        <w:rPr>
          <w:rFonts w:hint="eastAsia" w:ascii="宋体" w:hAnsi="宋体" w:cs="宋体"/>
          <w:color w:val="auto"/>
          <w:spacing w:val="-4"/>
          <w:sz w:val="24"/>
          <w:szCs w:val="24"/>
          <w:highlight w:val="none"/>
        </w:rPr>
      </w:pPr>
      <w:r>
        <w:rPr>
          <w:rFonts w:hint="eastAsia" w:ascii="宋体" w:hAnsi="宋体" w:cs="宋体"/>
          <w:color w:val="auto"/>
          <w:spacing w:val="-4"/>
          <w:sz w:val="24"/>
          <w:szCs w:val="24"/>
          <w:highlight w:val="none"/>
        </w:rPr>
        <w:t>1、从竣工验收合格之日计算，质保期至少两年。质保期自维修工程竣工验收合格之日起计算。质保期内，如工程出现质量问题，成交供应商应保证接到采购人通知后</w:t>
      </w:r>
      <w:r>
        <w:rPr>
          <w:rFonts w:hint="eastAsia" w:ascii="宋体" w:hAnsi="宋体" w:cs="宋体"/>
          <w:color w:val="auto"/>
          <w:spacing w:val="-4"/>
          <w:sz w:val="24"/>
          <w:szCs w:val="24"/>
          <w:highlight w:val="none"/>
          <w:u w:val="single"/>
        </w:rPr>
        <w:t xml:space="preserve"> 5 </w:t>
      </w:r>
      <w:r>
        <w:rPr>
          <w:rFonts w:hint="eastAsia" w:ascii="宋体" w:hAnsi="宋体" w:cs="宋体"/>
          <w:color w:val="auto"/>
          <w:spacing w:val="-4"/>
          <w:sz w:val="24"/>
          <w:szCs w:val="24"/>
          <w:highlight w:val="none"/>
        </w:rPr>
        <w:t>小时内派人进行检查及维修，并应在采购人确定的合理期限内修复完毕，如成交供应商逾期未派人修复或二次维修后仍出现问题的，采购人有权另行委托他人维修，所需费用和采购人因此受到的损失均由成交供应商承担。</w:t>
      </w:r>
    </w:p>
    <w:p>
      <w:pPr>
        <w:widowControl/>
        <w:shd w:val="clear" w:color="auto" w:fill="FFFFFF"/>
        <w:snapToGrid w:val="0"/>
        <w:spacing w:line="360" w:lineRule="auto"/>
        <w:ind w:firstLine="480" w:firstLineChars="200"/>
        <w:jc w:val="left"/>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sz w:val="24"/>
          <w:szCs w:val="24"/>
          <w:highlight w:val="none"/>
        </w:rPr>
        <w:t>2、</w:t>
      </w:r>
      <w:r>
        <w:rPr>
          <w:rFonts w:hint="eastAsia" w:ascii="宋体" w:hAnsi="宋体" w:cs="宋体"/>
          <w:color w:val="auto"/>
          <w:kern w:val="0"/>
          <w:sz w:val="24"/>
          <w:szCs w:val="24"/>
          <w:highlight w:val="none"/>
          <w:shd w:val="clear" w:color="auto" w:fill="FFFFFF"/>
          <w:lang w:bidi="ar"/>
        </w:rPr>
        <w:t>在免费保修期内，</w:t>
      </w:r>
      <w:r>
        <w:rPr>
          <w:rFonts w:hint="eastAsia" w:ascii="宋体" w:hAnsi="宋体" w:cs="宋体"/>
          <w:color w:val="auto"/>
          <w:spacing w:val="-4"/>
          <w:sz w:val="24"/>
          <w:szCs w:val="24"/>
          <w:highlight w:val="none"/>
        </w:rPr>
        <w:t>成交供应商</w:t>
      </w:r>
      <w:r>
        <w:rPr>
          <w:rFonts w:hint="eastAsia" w:ascii="宋体" w:hAnsi="宋体" w:cs="宋体"/>
          <w:color w:val="auto"/>
          <w:kern w:val="0"/>
          <w:sz w:val="24"/>
          <w:szCs w:val="24"/>
          <w:highlight w:val="none"/>
          <w:shd w:val="clear" w:color="auto" w:fill="FFFFFF"/>
          <w:lang w:bidi="ar"/>
        </w:rPr>
        <w:t>对有缺陷的部位必须无偿地给予修理与更换，并承担一切由此引起的对</w:t>
      </w:r>
      <w:r>
        <w:rPr>
          <w:rFonts w:hint="eastAsia" w:ascii="宋体" w:hAnsi="宋体" w:cs="宋体"/>
          <w:color w:val="auto"/>
          <w:spacing w:val="-4"/>
          <w:sz w:val="24"/>
          <w:szCs w:val="24"/>
          <w:highlight w:val="none"/>
        </w:rPr>
        <w:t>采购人</w:t>
      </w:r>
      <w:r>
        <w:rPr>
          <w:rFonts w:hint="eastAsia" w:ascii="宋体" w:hAnsi="宋体" w:cs="宋体"/>
          <w:color w:val="auto"/>
          <w:kern w:val="0"/>
          <w:sz w:val="24"/>
          <w:szCs w:val="24"/>
          <w:highlight w:val="none"/>
          <w:shd w:val="clear" w:color="auto" w:fill="FFFFFF"/>
          <w:lang w:bidi="ar"/>
        </w:rPr>
        <w:t>或第三者的直接损失，除非该缺陷是由于人为破坏或合同规定的不可抗因素造成的损坏。</w:t>
      </w:r>
    </w:p>
    <w:p>
      <w:pPr>
        <w:widowControl/>
        <w:shd w:val="clear" w:color="auto" w:fill="FFFFFF"/>
        <w:snapToGrid w:val="0"/>
        <w:spacing w:line="360" w:lineRule="auto"/>
        <w:ind w:firstLine="480" w:firstLineChars="200"/>
        <w:jc w:val="left"/>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sz w:val="24"/>
          <w:szCs w:val="24"/>
          <w:highlight w:val="none"/>
        </w:rPr>
        <w:t>3、</w:t>
      </w:r>
      <w:r>
        <w:rPr>
          <w:rFonts w:hint="eastAsia" w:ascii="宋体" w:hAnsi="宋体" w:cs="宋体"/>
          <w:color w:val="auto"/>
          <w:kern w:val="0"/>
          <w:sz w:val="24"/>
          <w:szCs w:val="24"/>
          <w:highlight w:val="none"/>
          <w:shd w:val="clear" w:color="auto" w:fill="FFFFFF"/>
          <w:lang w:bidi="ar"/>
        </w:rPr>
        <w:t>质保期满后，</w:t>
      </w:r>
      <w:r>
        <w:rPr>
          <w:rFonts w:hint="eastAsia" w:ascii="宋体" w:hAnsi="宋体" w:cs="宋体"/>
          <w:color w:val="auto"/>
          <w:spacing w:val="-4"/>
          <w:sz w:val="24"/>
          <w:szCs w:val="24"/>
          <w:highlight w:val="none"/>
        </w:rPr>
        <w:t>成交供应商</w:t>
      </w:r>
      <w:r>
        <w:rPr>
          <w:rFonts w:hint="eastAsia" w:ascii="宋体" w:hAnsi="宋体" w:cs="宋体"/>
          <w:color w:val="auto"/>
          <w:kern w:val="0"/>
          <w:sz w:val="24"/>
          <w:szCs w:val="24"/>
          <w:highlight w:val="none"/>
          <w:shd w:val="clear" w:color="auto" w:fill="FFFFFF"/>
          <w:lang w:bidi="ar"/>
        </w:rPr>
        <w:t>须承诺提供终身维修服务，维修费用按照材料成本收取。</w:t>
      </w: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p>
    <w:p>
      <w:pPr>
        <w:widowControl/>
        <w:adjustRightInd w:val="0"/>
        <w:spacing w:line="360" w:lineRule="auto"/>
        <w:textAlignment w:val="bottom"/>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 xml:space="preserve">七、施工工期    </w:t>
      </w:r>
    </w:p>
    <w:p>
      <w:pPr>
        <w:widowControl/>
        <w:adjustRightInd w:val="0"/>
        <w:spacing w:line="360" w:lineRule="auto"/>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 xml:space="preserve">    合同签订后12日内完成施工，具备验收条件。</w:t>
      </w:r>
    </w:p>
    <w:p>
      <w:pPr>
        <w:widowControl/>
        <w:adjustRightInd w:val="0"/>
        <w:spacing w:line="360" w:lineRule="auto"/>
        <w:textAlignment w:val="bottom"/>
        <w:rPr>
          <w:rFonts w:hint="eastAsia" w:ascii="宋体" w:hAnsi="宋体" w:cs="宋体"/>
          <w:color w:val="auto"/>
          <w:kern w:val="0"/>
          <w:sz w:val="24"/>
          <w:szCs w:val="24"/>
          <w:highlight w:val="none"/>
          <w:shd w:val="clear" w:color="auto" w:fill="FFFFFF"/>
          <w:lang w:bidi="ar"/>
        </w:rPr>
      </w:pPr>
    </w:p>
    <w:p>
      <w:pPr>
        <w:spacing w:line="360" w:lineRule="auto"/>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八、验收要求</w:t>
      </w:r>
    </w:p>
    <w:p>
      <w:pPr>
        <w:widowControl/>
        <w:adjustRightInd w:val="0"/>
        <w:spacing w:line="360" w:lineRule="auto"/>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 xml:space="preserve"> （一）投标供应商须提供详细的验收方案，该方案须符合国家相关行业标准和验收标准。</w:t>
      </w:r>
    </w:p>
    <w:p>
      <w:pPr>
        <w:widowControl/>
        <w:adjustRightInd w:val="0"/>
        <w:spacing w:line="360" w:lineRule="auto"/>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（二）采购人在接到供应商以书面形式提出验收申请后，及时组织相关专业技术人员，必要时邀请质检等部门共同参与验收，并出具验收报告，作为支付货款的依据。</w:t>
      </w:r>
    </w:p>
    <w:p>
      <w:pPr>
        <w:widowControl/>
        <w:adjustRightInd w:val="0"/>
        <w:spacing w:line="360" w:lineRule="auto"/>
        <w:textAlignment w:val="bottom"/>
        <w:rPr>
          <w:rFonts w:hint="eastAsia" w:ascii="宋体" w:hAnsi="宋体" w:cs="宋体"/>
          <w:color w:val="auto"/>
          <w:kern w:val="0"/>
          <w:sz w:val="24"/>
          <w:szCs w:val="24"/>
          <w:highlight w:val="none"/>
          <w:shd w:val="clear" w:color="auto" w:fill="FFFFFF"/>
          <w:lang w:bidi="ar"/>
        </w:rPr>
      </w:pPr>
      <w:r>
        <w:rPr>
          <w:rFonts w:hint="eastAsia" w:ascii="宋体" w:hAnsi="宋体" w:cs="宋体"/>
          <w:color w:val="auto"/>
          <w:kern w:val="0"/>
          <w:sz w:val="24"/>
          <w:szCs w:val="24"/>
          <w:highlight w:val="none"/>
          <w:shd w:val="clear" w:color="auto" w:fill="FFFFFF"/>
          <w:lang w:bidi="ar"/>
        </w:rPr>
        <w:t>（三）成交供应商在完成项目后，若经采购人验收不合格，成交供应商承担所有责任</w:t>
      </w:r>
    </w:p>
    <w:p>
      <w:pPr>
        <w:widowControl/>
        <w:adjustRightInd w:val="0"/>
        <w:spacing w:line="360" w:lineRule="auto"/>
        <w:textAlignment w:val="bottom"/>
        <w:rPr>
          <w:rFonts w:hint="eastAsia" w:ascii="宋体" w:hAnsi="宋体" w:cs="宋体"/>
          <w:color w:val="auto"/>
          <w:kern w:val="0"/>
          <w:sz w:val="24"/>
          <w:szCs w:val="24"/>
          <w:highlight w:val="none"/>
          <w:shd w:val="clear" w:color="auto" w:fill="FFFFFF"/>
          <w:lang w:bidi="ar"/>
        </w:rPr>
      </w:pPr>
    </w:p>
    <w:p>
      <w:pPr>
        <w:spacing w:line="360" w:lineRule="auto"/>
        <w:rPr>
          <w:rFonts w:hint="eastAsia" w:ascii="宋体" w:hAnsi="宋体" w:cs="宋体"/>
          <w:b/>
          <w:bCs/>
          <w:color w:val="auto"/>
          <w:kern w:val="0"/>
          <w:sz w:val="24"/>
          <w:szCs w:val="24"/>
          <w:highlight w:val="none"/>
          <w:shd w:val="clear" w:color="auto" w:fill="FFFFFF"/>
          <w:lang w:bidi="ar"/>
        </w:rPr>
      </w:pPr>
      <w:r>
        <w:rPr>
          <w:rFonts w:hint="eastAsia" w:ascii="宋体" w:hAnsi="宋体" w:cs="宋体"/>
          <w:b/>
          <w:bCs/>
          <w:color w:val="auto"/>
          <w:kern w:val="0"/>
          <w:sz w:val="24"/>
          <w:szCs w:val="24"/>
          <w:highlight w:val="none"/>
          <w:shd w:val="clear" w:color="auto" w:fill="FFFFFF"/>
          <w:lang w:bidi="ar"/>
        </w:rPr>
        <w:t>九、付款方式</w:t>
      </w:r>
    </w:p>
    <w:p>
      <w:pPr>
        <w:widowControl/>
        <w:adjustRightInd w:val="0"/>
        <w:spacing w:line="360" w:lineRule="auto"/>
        <w:ind w:firstLine="480" w:firstLineChars="200"/>
        <w:textAlignment w:val="bottom"/>
        <w:rPr>
          <w:rFonts w:hint="eastAsia" w:ascii="宋体" w:hAnsi="宋体"/>
          <w:bCs/>
          <w:color w:val="auto"/>
          <w:sz w:val="24"/>
          <w:highlight w:val="none"/>
          <w:u w:val="none"/>
        </w:rPr>
      </w:pPr>
      <w:r>
        <w:rPr>
          <w:rFonts w:hint="eastAsia" w:ascii="宋体" w:hAnsi="宋体"/>
          <w:bCs/>
          <w:color w:val="auto"/>
          <w:sz w:val="24"/>
          <w:highlight w:val="none"/>
          <w:u w:val="none"/>
        </w:rPr>
        <w:t>合同签订后预付合同价50%，审计结束后付</w:t>
      </w:r>
      <w:r>
        <w:rPr>
          <w:rFonts w:hint="eastAsia" w:ascii="宋体" w:hAnsi="宋体"/>
          <w:bCs/>
          <w:color w:val="auto"/>
          <w:sz w:val="24"/>
          <w:highlight w:val="none"/>
          <w:u w:val="none"/>
          <w:lang w:val="en-US" w:eastAsia="zh-CN"/>
        </w:rPr>
        <w:t>至</w:t>
      </w:r>
      <w:r>
        <w:rPr>
          <w:rFonts w:hint="eastAsia" w:ascii="宋体" w:hAnsi="宋体"/>
          <w:bCs/>
          <w:color w:val="auto"/>
          <w:sz w:val="24"/>
          <w:highlight w:val="none"/>
          <w:u w:val="none"/>
        </w:rPr>
        <w:t>工程审定价的100%工程款。每次支付前，必须出具相应金额发票。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88DF4"/>
    <w:multiLevelType w:val="singleLevel"/>
    <w:tmpl w:val="92488DF4"/>
    <w:lvl w:ilvl="0" w:tentative="0">
      <w:start w:val="4"/>
      <w:numFmt w:val="chineseCounting"/>
      <w:suff w:val="nothing"/>
      <w:lvlText w:val="%1、"/>
      <w:lvlJc w:val="left"/>
      <w:rPr>
        <w:rFonts w:hint="eastAsia"/>
      </w:rPr>
    </w:lvl>
  </w:abstractNum>
  <w:abstractNum w:abstractNumId="1">
    <w:nsid w:val="A36B9A18"/>
    <w:multiLevelType w:val="singleLevel"/>
    <w:tmpl w:val="A36B9A18"/>
    <w:lvl w:ilvl="0" w:tentative="0">
      <w:start w:val="1"/>
      <w:numFmt w:val="chineseCounting"/>
      <w:suff w:val="nothing"/>
      <w:lvlText w:val="%1、"/>
      <w:lvlJc w:val="left"/>
      <w:rPr>
        <w:rFonts w:hint="eastAsia"/>
      </w:rPr>
    </w:lvl>
  </w:abstractNum>
  <w:abstractNum w:abstractNumId="2">
    <w:nsid w:val="E001C9B8"/>
    <w:multiLevelType w:val="singleLevel"/>
    <w:tmpl w:val="E001C9B8"/>
    <w:lvl w:ilvl="0" w:tentative="0">
      <w:start w:val="1"/>
      <w:numFmt w:val="decimal"/>
      <w:pStyle w:val="6"/>
      <w:lvlText w:val="%1."/>
      <w:lvlJc w:val="left"/>
      <w:pPr>
        <w:tabs>
          <w:tab w:val="left" w:pos="2040"/>
        </w:tabs>
        <w:ind w:left="20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402F2"/>
    <w:rsid w:val="01705C99"/>
    <w:rsid w:val="100828AD"/>
    <w:rsid w:val="167421DE"/>
    <w:rsid w:val="187675E6"/>
    <w:rsid w:val="1946255C"/>
    <w:rsid w:val="2418219D"/>
    <w:rsid w:val="266D1322"/>
    <w:rsid w:val="2A790643"/>
    <w:rsid w:val="32047E1A"/>
    <w:rsid w:val="36BD095F"/>
    <w:rsid w:val="37FF0092"/>
    <w:rsid w:val="51937B70"/>
    <w:rsid w:val="522C70F0"/>
    <w:rsid w:val="6FE611FF"/>
    <w:rsid w:val="73E90B13"/>
    <w:rsid w:val="74E402F2"/>
    <w:rsid w:val="7AAE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next w:val="4"/>
    <w:uiPriority w:val="0"/>
    <w:pPr>
      <w:spacing w:after="120"/>
      <w:ind w:left="420" w:leftChars="200"/>
    </w:pPr>
    <w:rPr>
      <w:szCs w:val="24"/>
    </w:rPr>
  </w:style>
  <w:style w:type="paragraph" w:styleId="4">
    <w:name w:val="envelope return"/>
    <w:basedOn w:val="1"/>
    <w:unhideWhenUsed/>
    <w:uiPriority w:val="99"/>
    <w:pPr>
      <w:snapToGrid w:val="0"/>
    </w:pPr>
    <w:rPr>
      <w:rFonts w:ascii="Arial" w:hAnsi="Arial"/>
    </w:rPr>
  </w:style>
  <w:style w:type="paragraph" w:styleId="5">
    <w:name w:val="Plain Text"/>
    <w:basedOn w:val="1"/>
    <w:next w:val="6"/>
    <w:semiHidden/>
    <w:qFormat/>
    <w:uiPriority w:val="99"/>
    <w:rPr>
      <w:rFonts w:ascii="宋体" w:hAnsi="Courier New" w:cs="Courier New"/>
    </w:rPr>
  </w:style>
  <w:style w:type="paragraph" w:styleId="6">
    <w:name w:val="List Number 5"/>
    <w:basedOn w:val="1"/>
    <w:uiPriority w:val="0"/>
    <w:pPr>
      <w:numPr>
        <w:ilvl w:val="0"/>
        <w:numId w:val="1"/>
      </w:numPr>
    </w:p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3"/>
    <w:next w:val="5"/>
    <w:unhideWhenUsed/>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2022-12-13T08:52:00Z</dcterms:created>
  <dc:creator>L</dc:creator>
  <cp:lastModifiedBy>L</cp:lastModifiedBy>
  <dcterms:modified xsi:type="dcterms:W3CDTF">2022-12-13T08:53:04Z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60E59809C2004E87BC64C4F52F0D6313</vt:lpwstr>
  </property>
</Properties>
</file>