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i w:val="0"/>
          <w:iCs w:val="0"/>
          <w:color w:val="auto"/>
          <w:w w:val="80"/>
          <w:sz w:val="36"/>
          <w:szCs w:val="36"/>
          <w:highlight w:val="none"/>
          <w:lang w:val="en-US" w:eastAsia="zh-CN"/>
        </w:rPr>
      </w:pPr>
      <w:r>
        <w:rPr>
          <w:rFonts w:hint="eastAsia" w:ascii="宋体" w:hAnsi="宋体" w:eastAsia="宋体"/>
          <w:i w:val="0"/>
          <w:iCs w:val="0"/>
          <w:color w:val="auto"/>
          <w:w w:val="80"/>
          <w:sz w:val="36"/>
          <w:szCs w:val="36"/>
          <w:highlight w:val="none"/>
          <w:lang w:val="en-US" w:eastAsia="zh-CN"/>
        </w:rPr>
        <w:t>江苏省南通市人民检察院中央空调及新风空调维保项目</w:t>
      </w:r>
      <w:bookmarkStart w:id="0" w:name="_GoBack"/>
      <w:bookmarkEnd w:id="0"/>
      <w:r>
        <w:rPr>
          <w:rFonts w:hint="eastAsia" w:ascii="宋体" w:hAnsi="宋体" w:eastAsia="宋体"/>
          <w:i w:val="0"/>
          <w:iCs w:val="0"/>
          <w:color w:val="auto"/>
          <w:w w:val="80"/>
          <w:sz w:val="36"/>
          <w:szCs w:val="36"/>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p>
    <w:p>
      <w:pPr>
        <w:spacing w:before="120" w:after="1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为确保</w:t>
      </w:r>
      <w:r>
        <w:rPr>
          <w:rFonts w:hint="eastAsia" w:ascii="宋体" w:hAnsi="宋体" w:eastAsia="宋体" w:cs="宋体"/>
          <w:kern w:val="0"/>
          <w:sz w:val="21"/>
          <w:szCs w:val="21"/>
          <w:highlight w:val="none"/>
          <w:lang w:eastAsia="zh-CN"/>
        </w:rPr>
        <w:t>江苏省南通市人民检察院及</w:t>
      </w:r>
      <w:r>
        <w:rPr>
          <w:rFonts w:hint="eastAsia" w:ascii="宋体" w:hAnsi="宋体" w:eastAsia="宋体" w:cs="宋体"/>
          <w:kern w:val="0"/>
          <w:sz w:val="21"/>
          <w:szCs w:val="21"/>
          <w:highlight w:val="none"/>
        </w:rPr>
        <w:t>开发区智慧园办案中心的中央空调及新风空调的正常运行，现以</w:t>
      </w:r>
      <w:r>
        <w:rPr>
          <w:rFonts w:hint="eastAsia" w:ascii="宋体" w:hAnsi="宋体" w:eastAsia="宋体" w:cs="宋体"/>
          <w:kern w:val="0"/>
          <w:sz w:val="21"/>
          <w:szCs w:val="21"/>
          <w:highlight w:val="none"/>
          <w:lang w:eastAsia="zh-CN"/>
        </w:rPr>
        <w:t>竞争性磋商</w:t>
      </w:r>
      <w:r>
        <w:rPr>
          <w:rFonts w:hint="eastAsia" w:ascii="宋体" w:hAnsi="宋体" w:eastAsia="宋体" w:cs="宋体"/>
          <w:kern w:val="0"/>
          <w:sz w:val="21"/>
          <w:szCs w:val="21"/>
          <w:highlight w:val="none"/>
        </w:rPr>
        <w:t>的方式确定空调设备维保服务单位，具体事项如下：</w:t>
      </w:r>
    </w:p>
    <w:p>
      <w:pPr>
        <w:spacing w:before="120" w:after="120"/>
        <w:ind w:firstLine="105" w:firstLineChars="5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一、</w:t>
      </w:r>
      <w:r>
        <w:rPr>
          <w:rFonts w:hint="eastAsia" w:ascii="宋体" w:hAnsi="宋体" w:eastAsia="宋体" w:cs="宋体"/>
          <w:sz w:val="21"/>
          <w:szCs w:val="21"/>
          <w:highlight w:val="none"/>
        </w:rPr>
        <w:t>项目概况</w:t>
      </w:r>
    </w:p>
    <w:p>
      <w:pPr>
        <w:pStyle w:val="8"/>
        <w:numPr>
          <w:ilvl w:val="0"/>
          <w:numId w:val="0"/>
        </w:numPr>
        <w:tabs>
          <w:tab w:val="left" w:pos="0"/>
          <w:tab w:val="clear" w:pos="709"/>
        </w:tabs>
        <w:rPr>
          <w:rFonts w:hint="eastAsia" w:ascii="宋体" w:hAnsi="宋体" w:eastAsia="宋体" w:cs="宋体"/>
          <w:sz w:val="21"/>
          <w:szCs w:val="21"/>
          <w:highlight w:val="none"/>
        </w:rPr>
      </w:pPr>
      <w:r>
        <w:rPr>
          <w:rFonts w:hint="eastAsia" w:ascii="宋体" w:hAnsi="宋体" w:eastAsia="宋体" w:cs="宋体"/>
          <w:sz w:val="21"/>
          <w:szCs w:val="21"/>
          <w:highlight w:val="none"/>
        </w:rPr>
        <w:t>（一）基本情况</w:t>
      </w:r>
    </w:p>
    <w:p>
      <w:pPr>
        <w:pStyle w:val="8"/>
        <w:numPr>
          <w:ilvl w:val="0"/>
          <w:numId w:val="0"/>
        </w:numPr>
        <w:tabs>
          <w:tab w:val="left" w:pos="0"/>
          <w:tab w:val="clear" w:pos="709"/>
        </w:tabs>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一、开发区智慧园设备清单</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800"/>
        <w:gridCol w:w="2278"/>
        <w:gridCol w:w="951"/>
        <w:gridCol w:w="127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180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位置</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设备型号</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合计功率</w:t>
            </w:r>
          </w:p>
        </w:tc>
        <w:tc>
          <w:tcPr>
            <w:tcW w:w="152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大金VRV中央空调</w:t>
            </w:r>
          </w:p>
        </w:tc>
        <w:tc>
          <w:tcPr>
            <w:tcW w:w="1800"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办案中心、外机在屋顶</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RHXYQ8BA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8匹</w:t>
            </w:r>
          </w:p>
        </w:tc>
        <w:tc>
          <w:tcPr>
            <w:tcW w:w="152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包括该系统所有室内机</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RHXYQ10BA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RHXYQ12BA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192匹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RHXYQ14BA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56匹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RHXYQ16BA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RHXYQ18BA</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志高新风空调机</w:t>
            </w:r>
          </w:p>
        </w:tc>
        <w:tc>
          <w:tcPr>
            <w:tcW w:w="1800"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办案中心、外机在屋顶</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CMV-V280WSA-C</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60匹</w:t>
            </w:r>
          </w:p>
        </w:tc>
        <w:tc>
          <w:tcPr>
            <w:tcW w:w="152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58" w:type="dxa"/>
            <w:vMerge w:val="continue"/>
            <w:noWrap w:val="0"/>
            <w:vAlign w:val="center"/>
          </w:tcPr>
          <w:p>
            <w:pPr>
              <w:jc w:val="center"/>
              <w:rPr>
                <w:rFonts w:hint="eastAsia" w:ascii="宋体" w:hAnsi="宋体" w:eastAsia="宋体" w:cs="宋体"/>
                <w:sz w:val="21"/>
                <w:szCs w:val="21"/>
                <w:highlight w:val="none"/>
              </w:rPr>
            </w:pPr>
          </w:p>
        </w:tc>
        <w:tc>
          <w:tcPr>
            <w:tcW w:w="1800" w:type="dxa"/>
            <w:vMerge w:val="continue"/>
            <w:noWrap w:val="0"/>
            <w:vAlign w:val="center"/>
          </w:tcPr>
          <w:p>
            <w:pPr>
              <w:jc w:val="center"/>
              <w:rPr>
                <w:rFonts w:hint="eastAsia" w:ascii="宋体" w:hAnsi="宋体" w:eastAsia="宋体" w:cs="宋体"/>
                <w:sz w:val="21"/>
                <w:szCs w:val="21"/>
                <w:highlight w:val="none"/>
              </w:rPr>
            </w:pP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CMV-V450WSA-C</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16匹</w:t>
            </w:r>
          </w:p>
        </w:tc>
        <w:tc>
          <w:tcPr>
            <w:tcW w:w="1523"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5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格力空调</w:t>
            </w:r>
          </w:p>
        </w:tc>
        <w:tc>
          <w:tcPr>
            <w:tcW w:w="180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配电房+食堂</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KFR-72LW</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6匹</w:t>
            </w:r>
          </w:p>
        </w:tc>
        <w:tc>
          <w:tcPr>
            <w:tcW w:w="152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5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格力空调</w:t>
            </w:r>
          </w:p>
        </w:tc>
        <w:tc>
          <w:tcPr>
            <w:tcW w:w="180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值班室</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KFR-50GW</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8匹</w:t>
            </w:r>
          </w:p>
        </w:tc>
        <w:tc>
          <w:tcPr>
            <w:tcW w:w="152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海尔空调</w:t>
            </w:r>
          </w:p>
        </w:tc>
        <w:tc>
          <w:tcPr>
            <w:tcW w:w="180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配电房</w:t>
            </w:r>
          </w:p>
        </w:tc>
        <w:tc>
          <w:tcPr>
            <w:tcW w:w="227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KFR-120LW</w:t>
            </w:r>
          </w:p>
        </w:tc>
        <w:tc>
          <w:tcPr>
            <w:tcW w:w="9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5匹</w:t>
            </w:r>
          </w:p>
        </w:tc>
        <w:tc>
          <w:tcPr>
            <w:tcW w:w="152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58" w:type="dxa"/>
            <w:noWrap w:val="0"/>
            <w:vAlign w:val="center"/>
          </w:tcPr>
          <w:p>
            <w:pPr>
              <w:jc w:val="center"/>
              <w:rPr>
                <w:rFonts w:hint="eastAsia" w:ascii="宋体" w:hAnsi="宋体" w:eastAsia="宋体" w:cs="宋体"/>
                <w:sz w:val="21"/>
                <w:szCs w:val="21"/>
                <w:highlight w:val="none"/>
              </w:rPr>
            </w:pPr>
          </w:p>
        </w:tc>
        <w:tc>
          <w:tcPr>
            <w:tcW w:w="4078" w:type="dxa"/>
            <w:gridSpan w:val="2"/>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合计功率</w:t>
            </w:r>
          </w:p>
        </w:tc>
        <w:tc>
          <w:tcPr>
            <w:tcW w:w="951" w:type="dxa"/>
            <w:noWrap w:val="0"/>
            <w:vAlign w:val="center"/>
          </w:tcPr>
          <w:p>
            <w:pPr>
              <w:jc w:val="center"/>
              <w:rPr>
                <w:rFonts w:hint="eastAsia" w:ascii="宋体" w:hAnsi="宋体" w:eastAsia="宋体" w:cs="宋体"/>
                <w:sz w:val="21"/>
                <w:szCs w:val="21"/>
                <w:highlight w:val="none"/>
              </w:rPr>
            </w:pPr>
          </w:p>
        </w:tc>
        <w:tc>
          <w:tcPr>
            <w:tcW w:w="127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613匹</w:t>
            </w:r>
          </w:p>
        </w:tc>
        <w:tc>
          <w:tcPr>
            <w:tcW w:w="1523" w:type="dxa"/>
            <w:noWrap w:val="0"/>
            <w:vAlign w:val="center"/>
          </w:tcPr>
          <w:p>
            <w:pPr>
              <w:jc w:val="center"/>
              <w:rPr>
                <w:rFonts w:hint="eastAsia" w:ascii="宋体" w:hAnsi="宋体" w:eastAsia="宋体" w:cs="宋体"/>
                <w:sz w:val="21"/>
                <w:szCs w:val="21"/>
                <w:highlight w:val="none"/>
              </w:rPr>
            </w:pPr>
          </w:p>
        </w:tc>
      </w:tr>
    </w:tbl>
    <w:p>
      <w:pPr>
        <w:pStyle w:val="8"/>
        <w:numPr>
          <w:ilvl w:val="0"/>
          <w:numId w:val="0"/>
        </w:numPr>
        <w:tabs>
          <w:tab w:val="left" w:pos="0"/>
          <w:tab w:val="clear" w:pos="709"/>
        </w:tabs>
        <w:spacing w:line="360" w:lineRule="auto"/>
        <w:ind w:firstLine="411" w:firstLineChars="196"/>
        <w:rPr>
          <w:rFonts w:hint="eastAsia" w:ascii="宋体" w:hAnsi="宋体" w:eastAsia="宋体" w:cs="宋体"/>
          <w:sz w:val="21"/>
          <w:szCs w:val="21"/>
          <w:highlight w:val="none"/>
        </w:rPr>
      </w:pPr>
    </w:p>
    <w:p>
      <w:pPr>
        <w:pStyle w:val="8"/>
        <w:numPr>
          <w:ilvl w:val="0"/>
          <w:numId w:val="0"/>
        </w:numPr>
        <w:tabs>
          <w:tab w:val="left" w:pos="0"/>
          <w:tab w:val="clear" w:pos="709"/>
        </w:tabs>
        <w:spacing w:line="360" w:lineRule="auto"/>
        <w:ind w:firstLine="411" w:firstLineChars="196"/>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二、市检察院及附属用房空调设备清单</w:t>
      </w:r>
    </w:p>
    <w:p>
      <w:pPr>
        <w:pStyle w:val="8"/>
        <w:numPr>
          <w:ilvl w:val="0"/>
          <w:numId w:val="0"/>
        </w:numPr>
        <w:tabs>
          <w:tab w:val="left" w:pos="0"/>
          <w:tab w:val="clear" w:pos="709"/>
        </w:tabs>
        <w:spacing w:line="360" w:lineRule="auto"/>
        <w:ind w:firstLine="411" w:firstLineChars="196"/>
        <w:rPr>
          <w:rFonts w:hint="eastAsia" w:ascii="宋体" w:hAnsi="宋体" w:eastAsia="宋体" w:cs="宋体"/>
          <w:sz w:val="21"/>
          <w:szCs w:val="21"/>
          <w:highlight w:val="none"/>
        </w:rPr>
      </w:pP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441"/>
        <w:gridCol w:w="1843"/>
        <w:gridCol w:w="851"/>
        <w:gridCol w:w="127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36"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244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位置</w:t>
            </w: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设备型号</w:t>
            </w:r>
          </w:p>
        </w:tc>
        <w:tc>
          <w:tcPr>
            <w:tcW w:w="8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合计功率</w:t>
            </w:r>
          </w:p>
        </w:tc>
        <w:tc>
          <w:tcPr>
            <w:tcW w:w="124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636" w:type="dxa"/>
            <w:vMerge w:val="restart"/>
            <w:noWrap w:val="0"/>
            <w:vAlign w:val="center"/>
          </w:tcPr>
          <w:p>
            <w:pPr>
              <w:ind w:left="315" w:leftChars="5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VRV中央空调</w:t>
            </w:r>
          </w:p>
        </w:tc>
        <w:tc>
          <w:tcPr>
            <w:tcW w:w="244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办公楼、外机在屋顶</w:t>
            </w: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RHXYQ8PY1~16PY1</w:t>
            </w:r>
          </w:p>
        </w:tc>
        <w:tc>
          <w:tcPr>
            <w:tcW w:w="8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19台</w:t>
            </w: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242匹</w:t>
            </w:r>
          </w:p>
        </w:tc>
        <w:tc>
          <w:tcPr>
            <w:tcW w:w="1240"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包括该系统所有室内机</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6" w:type="dxa"/>
            <w:vMerge w:val="continue"/>
            <w:noWrap w:val="0"/>
            <w:vAlign w:val="center"/>
          </w:tcPr>
          <w:p>
            <w:pPr>
              <w:jc w:val="center"/>
              <w:rPr>
                <w:rFonts w:hint="eastAsia" w:ascii="宋体" w:hAnsi="宋体" w:eastAsia="宋体" w:cs="宋体"/>
                <w:sz w:val="21"/>
                <w:szCs w:val="21"/>
                <w:highlight w:val="none"/>
              </w:rPr>
            </w:pPr>
          </w:p>
        </w:tc>
        <w:tc>
          <w:tcPr>
            <w:tcW w:w="244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后大楼</w:t>
            </w:r>
            <w:r>
              <w:rPr>
                <w:rFonts w:hint="eastAsia" w:ascii="宋体" w:hAnsi="宋体" w:eastAsia="宋体" w:cs="宋体"/>
                <w:sz w:val="21"/>
                <w:szCs w:val="21"/>
                <w:highlight w:val="none"/>
                <w:lang w:val="en-US" w:eastAsia="zh-CN"/>
              </w:rPr>
              <w:t>3~5楼</w:t>
            </w:r>
            <w:r>
              <w:rPr>
                <w:rFonts w:hint="eastAsia" w:ascii="宋体" w:hAnsi="宋体" w:eastAsia="宋体" w:cs="宋体"/>
                <w:sz w:val="21"/>
                <w:szCs w:val="21"/>
                <w:highlight w:val="none"/>
              </w:rPr>
              <w:t>，外机在屋顶</w:t>
            </w:r>
          </w:p>
        </w:tc>
        <w:tc>
          <w:tcPr>
            <w:tcW w:w="184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RHXYQ8PY1~14PY1</w:t>
            </w:r>
          </w:p>
        </w:tc>
        <w:tc>
          <w:tcPr>
            <w:tcW w:w="8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9台</w:t>
            </w: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匹</w:t>
            </w:r>
          </w:p>
        </w:tc>
        <w:tc>
          <w:tcPr>
            <w:tcW w:w="1240"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36" w:type="dxa"/>
            <w:vMerge w:val="continue"/>
            <w:noWrap w:val="0"/>
            <w:vAlign w:val="center"/>
          </w:tcPr>
          <w:p>
            <w:pPr>
              <w:jc w:val="center"/>
              <w:rPr>
                <w:rFonts w:hint="eastAsia" w:ascii="宋体" w:hAnsi="宋体" w:eastAsia="宋体" w:cs="宋体"/>
                <w:sz w:val="21"/>
                <w:szCs w:val="21"/>
                <w:highlight w:val="none"/>
              </w:rPr>
            </w:pPr>
          </w:p>
        </w:tc>
        <w:tc>
          <w:tcPr>
            <w:tcW w:w="2441"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食堂，外机在2楼屋顶</w:t>
            </w: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RHXYQ8PY1~12PY1</w:t>
            </w:r>
          </w:p>
        </w:tc>
        <w:tc>
          <w:tcPr>
            <w:tcW w:w="8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68匹</w:t>
            </w:r>
          </w:p>
        </w:tc>
        <w:tc>
          <w:tcPr>
            <w:tcW w:w="1240"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6" w:type="dxa"/>
            <w:vMerge w:val="continue"/>
            <w:noWrap w:val="0"/>
            <w:vAlign w:val="center"/>
          </w:tcPr>
          <w:p>
            <w:pPr>
              <w:jc w:val="center"/>
              <w:rPr>
                <w:rFonts w:hint="eastAsia" w:ascii="宋体" w:hAnsi="宋体" w:eastAsia="宋体" w:cs="宋体"/>
                <w:sz w:val="21"/>
                <w:szCs w:val="21"/>
                <w:highlight w:val="none"/>
              </w:rPr>
            </w:pPr>
          </w:p>
        </w:tc>
        <w:tc>
          <w:tcPr>
            <w:tcW w:w="244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控审、外机在2楼屋顶</w:t>
            </w: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RHXYQ8PY1~14PY</w:t>
            </w:r>
          </w:p>
        </w:tc>
        <w:tc>
          <w:tcPr>
            <w:tcW w:w="85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24匹</w:t>
            </w:r>
          </w:p>
        </w:tc>
        <w:tc>
          <w:tcPr>
            <w:tcW w:w="1240"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6"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分体空调</w:t>
            </w:r>
          </w:p>
        </w:tc>
        <w:tc>
          <w:tcPr>
            <w:tcW w:w="2441"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配电房、食堂、机房</w:t>
            </w:r>
            <w:r>
              <w:rPr>
                <w:rFonts w:hint="eastAsia" w:ascii="宋体" w:hAnsi="宋体" w:eastAsia="宋体" w:cs="宋体"/>
                <w:sz w:val="21"/>
                <w:szCs w:val="21"/>
                <w:highlight w:val="none"/>
                <w:lang w:eastAsia="zh-CN"/>
              </w:rPr>
              <w:t>、美发室</w:t>
            </w:r>
            <w:r>
              <w:rPr>
                <w:rFonts w:hint="eastAsia" w:ascii="宋体" w:hAnsi="宋体" w:eastAsia="宋体" w:cs="宋体"/>
                <w:sz w:val="21"/>
                <w:szCs w:val="21"/>
                <w:highlight w:val="none"/>
              </w:rPr>
              <w:t>等</w:t>
            </w: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格力、</w:t>
            </w:r>
            <w:r>
              <w:rPr>
                <w:rFonts w:hint="eastAsia" w:ascii="宋体" w:hAnsi="宋体" w:eastAsia="宋体" w:cs="宋体"/>
                <w:sz w:val="21"/>
                <w:szCs w:val="21"/>
                <w:highlight w:val="none"/>
                <w:lang w:eastAsia="zh-CN"/>
              </w:rPr>
              <w:t>海尔、</w:t>
            </w:r>
            <w:r>
              <w:rPr>
                <w:rFonts w:hint="eastAsia" w:ascii="宋体" w:hAnsi="宋体" w:eastAsia="宋体" w:cs="宋体"/>
                <w:sz w:val="21"/>
                <w:szCs w:val="21"/>
                <w:highlight w:val="none"/>
              </w:rPr>
              <w:t>美的</w:t>
            </w:r>
          </w:p>
        </w:tc>
        <w:tc>
          <w:tcPr>
            <w:tcW w:w="851"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275" w:type="dxa"/>
            <w:vMerge w:val="restart"/>
            <w:noWrap w:val="0"/>
            <w:vAlign w:val="center"/>
          </w:tcPr>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2匹</w:t>
            </w:r>
          </w:p>
          <w:p>
            <w:pPr>
              <w:jc w:val="center"/>
              <w:rPr>
                <w:rFonts w:hint="eastAsia" w:ascii="宋体" w:hAnsi="宋体" w:eastAsia="宋体" w:cs="宋体"/>
                <w:sz w:val="21"/>
                <w:szCs w:val="21"/>
                <w:highlight w:val="none"/>
              </w:rPr>
            </w:pPr>
          </w:p>
        </w:tc>
        <w:tc>
          <w:tcPr>
            <w:tcW w:w="1240"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包括该系统所有内、外机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6" w:type="dxa"/>
            <w:vMerge w:val="continue"/>
            <w:noWrap w:val="0"/>
            <w:vAlign w:val="center"/>
          </w:tcPr>
          <w:p>
            <w:pPr>
              <w:jc w:val="center"/>
              <w:rPr>
                <w:rFonts w:hint="eastAsia" w:ascii="宋体" w:hAnsi="宋体" w:eastAsia="宋体" w:cs="宋体"/>
                <w:sz w:val="21"/>
                <w:szCs w:val="21"/>
                <w:highlight w:val="none"/>
              </w:rPr>
            </w:pPr>
          </w:p>
        </w:tc>
        <w:tc>
          <w:tcPr>
            <w:tcW w:w="2441" w:type="dxa"/>
            <w:vMerge w:val="continue"/>
            <w:noWrap w:val="0"/>
            <w:vAlign w:val="center"/>
          </w:tcPr>
          <w:p>
            <w:pPr>
              <w:jc w:val="center"/>
              <w:rPr>
                <w:rFonts w:hint="eastAsia" w:ascii="宋体" w:hAnsi="宋体" w:eastAsia="宋体" w:cs="宋体"/>
                <w:sz w:val="21"/>
                <w:szCs w:val="21"/>
                <w:highlight w:val="none"/>
              </w:rPr>
            </w:pPr>
          </w:p>
        </w:tc>
        <w:tc>
          <w:tcPr>
            <w:tcW w:w="1843"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三菱等</w:t>
            </w:r>
          </w:p>
        </w:tc>
        <w:tc>
          <w:tcPr>
            <w:tcW w:w="851" w:type="dxa"/>
            <w:vMerge w:val="continue"/>
            <w:noWrap w:val="0"/>
            <w:vAlign w:val="center"/>
          </w:tcPr>
          <w:p>
            <w:pPr>
              <w:jc w:val="center"/>
              <w:rPr>
                <w:rFonts w:hint="eastAsia" w:ascii="宋体" w:hAnsi="宋体" w:eastAsia="宋体" w:cs="宋体"/>
                <w:sz w:val="21"/>
                <w:szCs w:val="21"/>
                <w:highlight w:val="none"/>
              </w:rPr>
            </w:pPr>
          </w:p>
        </w:tc>
        <w:tc>
          <w:tcPr>
            <w:tcW w:w="1275" w:type="dxa"/>
            <w:vMerge w:val="continue"/>
            <w:noWrap w:val="0"/>
            <w:vAlign w:val="center"/>
          </w:tcPr>
          <w:p>
            <w:pPr>
              <w:jc w:val="center"/>
              <w:rPr>
                <w:rFonts w:hint="eastAsia" w:ascii="宋体" w:hAnsi="宋体" w:eastAsia="宋体" w:cs="宋体"/>
                <w:sz w:val="21"/>
                <w:szCs w:val="21"/>
                <w:highlight w:val="none"/>
              </w:rPr>
            </w:pPr>
          </w:p>
        </w:tc>
        <w:tc>
          <w:tcPr>
            <w:tcW w:w="1240" w:type="dxa"/>
            <w:vMerge w:val="continue"/>
            <w:noWrap w:val="0"/>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36" w:type="dxa"/>
            <w:noWrap w:val="0"/>
            <w:vAlign w:val="center"/>
          </w:tcPr>
          <w:p>
            <w:pPr>
              <w:jc w:val="center"/>
              <w:rPr>
                <w:rFonts w:hint="eastAsia" w:ascii="宋体" w:hAnsi="宋体" w:eastAsia="宋体" w:cs="宋体"/>
                <w:sz w:val="21"/>
                <w:szCs w:val="21"/>
                <w:highlight w:val="none"/>
              </w:rPr>
            </w:pPr>
          </w:p>
        </w:tc>
        <w:tc>
          <w:tcPr>
            <w:tcW w:w="4284" w:type="dxa"/>
            <w:gridSpan w:val="2"/>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合计</w:t>
            </w:r>
            <w:r>
              <w:rPr>
                <w:rFonts w:hint="eastAsia" w:ascii="宋体" w:hAnsi="宋体" w:eastAsia="宋体" w:cs="宋体"/>
                <w:sz w:val="21"/>
                <w:szCs w:val="21"/>
                <w:highlight w:val="none"/>
                <w:lang w:eastAsia="zh-CN"/>
              </w:rPr>
              <w:t>总容量</w:t>
            </w:r>
          </w:p>
        </w:tc>
        <w:tc>
          <w:tcPr>
            <w:tcW w:w="851" w:type="dxa"/>
            <w:noWrap w:val="0"/>
            <w:vAlign w:val="center"/>
          </w:tcPr>
          <w:p>
            <w:pPr>
              <w:jc w:val="center"/>
              <w:rPr>
                <w:rFonts w:hint="eastAsia" w:ascii="宋体" w:hAnsi="宋体" w:eastAsia="宋体" w:cs="宋体"/>
                <w:sz w:val="21"/>
                <w:szCs w:val="21"/>
                <w:highlight w:val="none"/>
              </w:rPr>
            </w:pPr>
          </w:p>
        </w:tc>
        <w:tc>
          <w:tcPr>
            <w:tcW w:w="12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486</w:t>
            </w:r>
            <w:r>
              <w:rPr>
                <w:rFonts w:hint="eastAsia" w:ascii="宋体" w:hAnsi="宋体" w:eastAsia="宋体" w:cs="宋体"/>
                <w:sz w:val="21"/>
                <w:szCs w:val="21"/>
                <w:highlight w:val="none"/>
              </w:rPr>
              <w:t>匹</w:t>
            </w:r>
          </w:p>
        </w:tc>
        <w:tc>
          <w:tcPr>
            <w:tcW w:w="1240" w:type="dxa"/>
            <w:noWrap w:val="0"/>
            <w:vAlign w:val="center"/>
          </w:tcPr>
          <w:p>
            <w:pPr>
              <w:jc w:val="center"/>
              <w:rPr>
                <w:rFonts w:hint="eastAsia" w:ascii="宋体" w:hAnsi="宋体" w:eastAsia="宋体" w:cs="宋体"/>
                <w:sz w:val="21"/>
                <w:szCs w:val="21"/>
                <w:highlight w:val="none"/>
              </w:rPr>
            </w:pPr>
          </w:p>
        </w:tc>
      </w:tr>
    </w:tbl>
    <w:p>
      <w:pPr>
        <w:pStyle w:val="8"/>
        <w:numPr>
          <w:ilvl w:val="0"/>
          <w:numId w:val="0"/>
        </w:numPr>
        <w:tabs>
          <w:tab w:val="left" w:pos="0"/>
          <w:tab w:val="clear" w:pos="709"/>
        </w:tabs>
        <w:spacing w:line="360" w:lineRule="auto"/>
        <w:rPr>
          <w:rFonts w:hint="eastAsia" w:ascii="宋体" w:hAnsi="宋体" w:eastAsia="宋体" w:cs="宋体"/>
          <w:sz w:val="21"/>
          <w:szCs w:val="21"/>
          <w:highlight w:val="none"/>
        </w:rPr>
      </w:pPr>
    </w:p>
    <w:p>
      <w:pPr>
        <w:pStyle w:val="8"/>
        <w:numPr>
          <w:ilvl w:val="0"/>
          <w:numId w:val="0"/>
        </w:numPr>
        <w:tabs>
          <w:tab w:val="left" w:pos="0"/>
          <w:tab w:val="clear" w:pos="709"/>
        </w:tabs>
        <w:spacing w:line="36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各投标人</w:t>
      </w:r>
      <w:r>
        <w:rPr>
          <w:rFonts w:hint="eastAsia" w:ascii="宋体" w:hAnsi="宋体" w:eastAsia="宋体" w:cs="宋体"/>
          <w:sz w:val="21"/>
          <w:szCs w:val="21"/>
          <w:highlight w:val="none"/>
          <w:lang w:val="en-US" w:eastAsia="zh-CN"/>
        </w:rPr>
        <w:t>须进行看场勘察，</w:t>
      </w:r>
      <w:r>
        <w:rPr>
          <w:rFonts w:hint="eastAsia" w:ascii="宋体" w:hAnsi="宋体" w:eastAsia="宋体" w:cs="宋体"/>
          <w:sz w:val="21"/>
          <w:szCs w:val="21"/>
          <w:highlight w:val="none"/>
        </w:rPr>
        <w:t>认真查看各中央空调设备的实际情况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以确定准确的投标报价，一旦确定中标后，</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将不做任何变更。</w:t>
      </w:r>
    </w:p>
    <w:p>
      <w:pPr>
        <w:pStyle w:val="8"/>
        <w:numPr>
          <w:ilvl w:val="0"/>
          <w:numId w:val="0"/>
        </w:numPr>
        <w:tabs>
          <w:tab w:val="left" w:pos="0"/>
          <w:tab w:val="clear" w:pos="709"/>
        </w:tabs>
        <w:spacing w:line="36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投标文件中须出具《现场勘查函》原件，以证明清楚了解本项目全部情况。否则视为未实质性响应磋商文件要求而作无效投标处理。</w:t>
      </w:r>
    </w:p>
    <w:p>
      <w:pPr>
        <w:pStyle w:val="8"/>
        <w:numPr>
          <w:ilvl w:val="0"/>
          <w:numId w:val="0"/>
        </w:numPr>
        <w:tabs>
          <w:tab w:val="left" w:pos="0"/>
          <w:tab w:val="clear" w:pos="709"/>
        </w:tabs>
        <w:spacing w:line="360" w:lineRule="auto"/>
        <w:ind w:left="708" w:hanging="619" w:hangingChars="295"/>
        <w:rPr>
          <w:rFonts w:hint="eastAsia" w:ascii="宋体" w:hAnsi="宋体" w:eastAsia="宋体" w:cs="宋体"/>
          <w:b/>
          <w:sz w:val="21"/>
          <w:szCs w:val="21"/>
          <w:highlight w:val="none"/>
        </w:rPr>
      </w:pPr>
      <w:r>
        <w:rPr>
          <w:rFonts w:hint="eastAsia" w:ascii="宋体" w:hAnsi="宋体" w:eastAsia="宋体" w:cs="宋体"/>
          <w:sz w:val="21"/>
          <w:szCs w:val="21"/>
          <w:highlight w:val="none"/>
        </w:rPr>
        <w:t>（二）维保项目的基本要求</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1.中央空调维保时间安排：要求每年集中维保两次，五月份、十月份各一次。空调使用期间每月定期进行一次巡检。</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2.中央空调维保内容：</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①冷媒系统（包含但不限于以下内容）</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a.冷媒管路接口冷媒泄漏检查 ；                     </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b.冷媒管路接口冷冻油泄漏检查；</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c.冷媒系统压力测定；</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d.冷媒系统部件/紧固件的确认；</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e.冷媒系统冷媒量的确认；</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f.冷媒系统冷冻油量的确认；</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g.压缩机所属电磁阀动作状况的检查；</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h.热交换器的清洁保养；</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i.冷媒管道保温检查、保养。</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②电气系统（包含但不限于以下内容）</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a.压缩机工作电流的测定 ；       k.控制部件工作电流的测定；</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b.压缩机绝缘阻值的测定  ；      l.压缩机用热敏电阻的测定；</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c.压缩机运转/震动音的判定 ；    m.检查机组的设定程序运转情况；</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d.压缩机工作电压的确认 ；      n.检查，清洁电器箱；  </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e.机组工作电压的测定 ；       o.保护装置部件状态的确认和调整。</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f.加热器工作状况的测定 ；       g.电器部件螺丝和紧固件的确认；</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h.盘管侧热敏电阻阻值的测定；   i.电器控制部件的调整 ；</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j.控制线路的检查及修复（断裂，短路，破损）；</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③运转状态的确认（包含但不限于以下内容）</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a.吸入/排出温度的测定 ；                  e.积水盘的清洗；</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b.过滤网的清洗、消毒；                    f.排水泵的运转确认；</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c.排水管的检查、冲洗；                    g.风扇运转的测定；</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d.外观检查污染清扫；                      h.点检表的制作。</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3.中央空调维护保养要求（包含但不限于以下内容）</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a.确保机组100%的运行状态</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b.在接到</w:t>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应急维修后，4小时内安排人员到达现场进行免费维修，并保证24小时内解决问题恢复正常工作。</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c.每次维保结束后七日内向</w:t>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提供书面报告，提出修理意见或更换零配件的建议。</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e.在</w:t>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有重要活动时，</w:t>
      </w:r>
      <w:r>
        <w:rPr>
          <w:rFonts w:hint="eastAsia" w:ascii="宋体" w:hAnsi="宋体" w:eastAsia="宋体" w:cs="宋体"/>
          <w:kern w:val="2"/>
          <w:sz w:val="21"/>
          <w:szCs w:val="21"/>
          <w:highlight w:val="none"/>
          <w:lang w:val="en-US" w:eastAsia="zh-CN"/>
        </w:rPr>
        <w:t>成交供应商须</w:t>
      </w:r>
      <w:r>
        <w:rPr>
          <w:rFonts w:hint="eastAsia" w:ascii="宋体" w:hAnsi="宋体" w:eastAsia="宋体" w:cs="宋体"/>
          <w:kern w:val="2"/>
          <w:sz w:val="21"/>
          <w:szCs w:val="21"/>
          <w:highlight w:val="none"/>
        </w:rPr>
        <w:t>应</w:t>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要求到现场配合。</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f.免费为</w:t>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操作人员提供中央空调的相关技术咨询与培训，确保其能正常操作及使用相关空调。</w:t>
      </w:r>
    </w:p>
    <w:p>
      <w:pPr>
        <w:pStyle w:val="8"/>
        <w:numPr>
          <w:ilvl w:val="0"/>
          <w:numId w:val="0"/>
        </w:numPr>
        <w:tabs>
          <w:tab w:val="left" w:pos="0"/>
          <w:tab w:val="clear" w:pos="709"/>
        </w:tabs>
        <w:spacing w:line="360" w:lineRule="auto"/>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4.网络主控机房精密空调维保要求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a.故障诊断与定位</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对于空调运行故障，提供故障现象的分析，故障原因的检测，故障部件的定位，从而分析和提供故障最佳解决途径。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b.备件更换与调测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对于故障诊断与定位测试中，确定已损坏的备件，提供备件的更换服务，以及备件更换后的重新调测，避免类似问题的再次发生。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c.系统的检漏与补漏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对于系统泄露故障，提供系统的全面检漏以及漏点的现场补漏处理。并对处理完成后的系统进行保压试验，检验补漏效果。</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d.宕机系统重新调测</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因管路泄露，压缩机烧毁，管路混有大量的空气等原因造成空调宕机的重大维护问题，除了提供上述的故障定位测试、备件更换和调测、系统的查漏补漏和压缩机的更换服务外；提供的宕机系统的重新调试服务，按照标准的调试流程，进行重新开机，从而从根本上杜绝类似问题的再次发生。</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e.送风组件的检修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检查并调整皮带轮和电机的装配，检查是否牢固和正确。检查并调整皮带松紧程度和状况。检查风机皮带轮与风机电机皮带轮是否在一平衡线上。检查风机轴承是否运转平稳，噪音和震动是否过大。检查风机电机温度和风机电流。对于使用年限较长，运行工况较差，皮带、轴承磨损严重的送风系统，提供全面的检修服务，进行风机轴承以及皮带的更换，风机叶片的修正，从而保证设备运行的正常风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f.冷凝器的检修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检查风扇绕组，测量风扇电流。检查风扇是否紧固，轴承工作状态是否正常。清洁冷凝器表面。检查调整控制板及压力控制开关工作状态。检查电机接线及绝缘状态。对于使用年限较长，清洁状况较差，冷凝效果不理想的冷凝器，提供全面的检修服务，进行冷凝器的清洗，翅片的修正等流程，从而恢复设备理想的冷凝效果，保证制冷能力的最大发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g.压缩机的检修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检查吸、排汽压力，检查系统过热度状况。通过视液镜判断冷媒是否充足。检查是否有漏油及油位。检测压缩机电流。检查压缩机运转声音和机身温度(运转中)是否正常。检查高、低压，开关动作状态及灵敏度。检查管路固定情况和保温层是否完好。</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h.制冷循环部分的检修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检查制冷管路是否有泄漏。通过视镜检查系统是否有水汽。检查及记录吸气压力、排气压力。检查管道是否有不正常之震动。检查膨胀阀是否有冰堵。检查热气旁通。</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i.电控部件检修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对机房空调系统电控部分全面检测与维护，检查所有电器外观和动作情况。检查和紧固所有导线连接，检查并校正温湿度传感器，检查电加热器是否完好，检查设备绝缘及接地情况，检查运行状态显示，从而保证各电气元件的安全运行，以及控制系统的正常运转。</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j.季度设备巡检</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保证设备正常稳定的运行，提供按季度对设备的全面检查与测试，预见和屏蔽运行故障，避免部件损坏的发生，对本季度的空调运行状况进行总结，同时对下季度的日常维护重点进行分析和规划，从而达到节省空调运行成本的目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k.设备运行状况检测及隐患分析</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对于运行中的机房空调设备，提供整机和部件运行状况检测与隐患分析，从而使空调使用方了解设备目前运转状态是否正常，有无运行隐患，以及如何有效的进行维护，才能达到节约运行成本的目的。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l.现场操作与维护培训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投标人需提供维护现场操作及简单维护培训，重点向受训人员介绍空调结构，工作原理，基本操作，从而使受训人员具备空调日常操作及简单维护的能力。</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m.巡检次数及相关要求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投标人每年对空调使用方的上述设备进行四次（每季度一次）全面检查及维护，确保所有设备正常运行。每次完成维护保养工作后，保养和维护工作检测报告交</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签字，双方各保留一份存底。投标人必须保证空调在维保期内完好率为100％。</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n.现场支持服务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当投标人接到空调使用方设备故障报修（信件、电报、传真或电话方式）后，即时做出响应，并于6小时内到达现场，对于严重故障(停机，不能制冷等)，在2小时内到达现场处理故障，并保证24小时内解决问题恢复正常工作。超过24小时不能彻底修复的，提供相关备机供使用方应急使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o.其他事项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对于上述设备故障需要更换配件的情况，投标人在最短时间内提供配件并免费更换。</w:t>
      </w:r>
    </w:p>
    <w:p>
      <w:pPr>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（三）投标报价要求和付款方式</w:t>
      </w:r>
    </w:p>
    <w:p>
      <w:pPr>
        <w:pStyle w:val="8"/>
        <w:numPr>
          <w:ilvl w:val="0"/>
          <w:numId w:val="0"/>
        </w:numPr>
        <w:tabs>
          <w:tab w:val="left" w:pos="0"/>
          <w:tab w:val="clear" w:pos="709"/>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1、投标报价要求：</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投标报价</w:t>
      </w:r>
      <w:r>
        <w:rPr>
          <w:rFonts w:hint="eastAsia" w:ascii="宋体" w:hAnsi="宋体" w:eastAsia="宋体" w:cs="宋体"/>
          <w:i w:val="0"/>
          <w:iCs w:val="0"/>
          <w:color w:val="auto"/>
          <w:sz w:val="21"/>
          <w:szCs w:val="21"/>
          <w:highlight w:val="none"/>
        </w:rPr>
        <w:t>（以人民币计价）包括但不限于清洁费、工具费、辅材费、人工劳务费、维护保养费、性能测试费、维保及相关劳务支出等工作所发生的全部费用以及企业利润、税金和政策性文件规定及合同包含的所有风险、责任等各项应有费用。即</w:t>
      </w:r>
      <w:r>
        <w:rPr>
          <w:rFonts w:hint="eastAsia" w:ascii="宋体" w:hAnsi="宋体" w:eastAsia="宋体" w:cs="宋体"/>
          <w:i w:val="0"/>
          <w:iCs w:val="0"/>
          <w:color w:val="auto"/>
          <w:sz w:val="21"/>
          <w:szCs w:val="21"/>
          <w:highlight w:val="none"/>
          <w:lang w:eastAsia="zh-CN"/>
        </w:rPr>
        <w:t>本项目一年服务期内所有维保人工费用</w:t>
      </w:r>
      <w:r>
        <w:rPr>
          <w:rFonts w:hint="eastAsia" w:ascii="宋体" w:hAnsi="宋体" w:eastAsia="宋体" w:cs="宋体"/>
          <w:i w:val="0"/>
          <w:iCs w:val="0"/>
          <w:color w:val="auto"/>
          <w:sz w:val="21"/>
          <w:szCs w:val="21"/>
          <w:highlight w:val="none"/>
        </w:rPr>
        <w:t>等，同时还包含为完成本项目所必须的其他辅助工作的相关费用及响应竞争性磋商文件要求的所有费用。</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（2） </w:t>
      </w:r>
      <w:r>
        <w:rPr>
          <w:rFonts w:hint="eastAsia" w:ascii="宋体" w:hAnsi="宋体" w:eastAsia="宋体" w:cs="宋体"/>
          <w:i w:val="0"/>
          <w:iCs w:val="0"/>
          <w:color w:val="auto"/>
          <w:sz w:val="21"/>
          <w:szCs w:val="21"/>
          <w:highlight w:val="none"/>
        </w:rPr>
        <w:t>遇配件更换，</w:t>
      </w:r>
      <w:r>
        <w:rPr>
          <w:rFonts w:hint="eastAsia" w:ascii="宋体" w:hAnsi="宋体" w:eastAsia="宋体" w:cs="宋体"/>
          <w:i w:val="0"/>
          <w:iCs w:val="0"/>
          <w:color w:val="auto"/>
          <w:sz w:val="21"/>
          <w:szCs w:val="21"/>
          <w:highlight w:val="none"/>
          <w:lang w:eastAsia="zh-CN"/>
        </w:rPr>
        <w:t>成交供应商</w:t>
      </w:r>
      <w:r>
        <w:rPr>
          <w:rFonts w:hint="eastAsia" w:ascii="宋体" w:hAnsi="宋体" w:eastAsia="宋体" w:cs="宋体"/>
          <w:i w:val="0"/>
          <w:iCs w:val="0"/>
          <w:color w:val="auto"/>
          <w:sz w:val="21"/>
          <w:szCs w:val="21"/>
          <w:highlight w:val="none"/>
        </w:rPr>
        <w:t>需列价格、型号，经相关部门确认，配件</w:t>
      </w:r>
      <w:r>
        <w:rPr>
          <w:rFonts w:hint="eastAsia" w:ascii="宋体" w:hAnsi="宋体" w:eastAsia="宋体" w:cs="宋体"/>
          <w:i w:val="0"/>
          <w:iCs w:val="0"/>
          <w:color w:val="auto"/>
          <w:sz w:val="21"/>
          <w:szCs w:val="21"/>
          <w:highlight w:val="none"/>
          <w:lang w:val="en-US" w:eastAsia="zh-CN"/>
        </w:rPr>
        <w:t>费</w:t>
      </w:r>
      <w:r>
        <w:rPr>
          <w:rFonts w:hint="eastAsia" w:ascii="宋体" w:hAnsi="宋体" w:eastAsia="宋体" w:cs="宋体"/>
          <w:i w:val="0"/>
          <w:iCs w:val="0"/>
          <w:color w:val="auto"/>
          <w:sz w:val="21"/>
          <w:szCs w:val="21"/>
          <w:highlight w:val="none"/>
        </w:rPr>
        <w:t>由</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承担。所用配件均符合国际和本品牌空调设备运行规定，否则造成损失由</w:t>
      </w:r>
      <w:r>
        <w:rPr>
          <w:rFonts w:hint="eastAsia" w:ascii="宋体" w:hAnsi="宋体" w:eastAsia="宋体" w:cs="宋体"/>
          <w:i w:val="0"/>
          <w:iCs w:val="0"/>
          <w:color w:val="auto"/>
          <w:sz w:val="21"/>
          <w:szCs w:val="21"/>
          <w:highlight w:val="none"/>
          <w:lang w:eastAsia="zh-CN"/>
        </w:rPr>
        <w:t>成交供应商</w:t>
      </w:r>
      <w:r>
        <w:rPr>
          <w:rFonts w:hint="eastAsia" w:ascii="宋体" w:hAnsi="宋体" w:eastAsia="宋体" w:cs="宋体"/>
          <w:i w:val="0"/>
          <w:iCs w:val="0"/>
          <w:color w:val="auto"/>
          <w:sz w:val="21"/>
          <w:szCs w:val="21"/>
          <w:highlight w:val="none"/>
        </w:rPr>
        <w:t>负责。</w:t>
      </w:r>
      <w:r>
        <w:rPr>
          <w:rFonts w:hint="eastAsia" w:ascii="宋体" w:hAnsi="宋体" w:eastAsia="宋体" w:cs="宋体"/>
          <w:i w:val="0"/>
          <w:iCs w:val="0"/>
          <w:color w:val="auto"/>
          <w:sz w:val="21"/>
          <w:szCs w:val="21"/>
          <w:highlight w:val="none"/>
          <w:lang w:val="en-US" w:eastAsia="zh-CN"/>
        </w:rPr>
        <w:t>配件更换人工费由成交供应商承担。</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协议以外的服务内容另行收费，如：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要求的工程改造、拆装机等服务；</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（2）空调相关设施的整改费用，如风管风口整改、更换电缆、电线、线管、桥架以及基础整修等；</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（3）因天灾、水灾等不可抗因素所引起的事故的整修作业；</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（4）由于使用方法不当引起的整修更换作业（如供电电源不正常引起部件损坏的）</w:t>
      </w:r>
      <w:r>
        <w:rPr>
          <w:rFonts w:hint="eastAsia" w:ascii="宋体" w:hAnsi="宋体" w:eastAsia="宋体" w:cs="宋体"/>
          <w:i w:val="0"/>
          <w:i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sz w:val="21"/>
          <w:szCs w:val="21"/>
          <w:highlight w:val="none"/>
          <w:lang w:val="en-US" w:eastAsia="zh-CN"/>
        </w:rPr>
      </w:pPr>
      <w:r>
        <w:rPr>
          <w:rFonts w:hint="eastAsia"/>
          <w:sz w:val="21"/>
          <w:szCs w:val="21"/>
          <w:highlight w:val="none"/>
          <w:lang w:val="en-US" w:eastAsia="zh-CN"/>
        </w:rPr>
        <w:t>二、服务期</w:t>
      </w:r>
      <w:r>
        <w:rPr>
          <w:rFonts w:hint="eastAsia"/>
          <w:sz w:val="21"/>
          <w:szCs w:val="21"/>
          <w:highlight w:val="none"/>
          <w:lang w:eastAsia="zh-CN"/>
        </w:rPr>
        <w:t>：</w:t>
      </w:r>
      <w:r>
        <w:rPr>
          <w:rFonts w:hint="eastAsia" w:ascii="宋体" w:hAnsi="宋体" w:cs="宋体"/>
          <w:i w:val="0"/>
          <w:iCs w:val="0"/>
          <w:color w:val="auto"/>
          <w:sz w:val="21"/>
          <w:szCs w:val="21"/>
          <w:highlight w:val="none"/>
          <w:lang w:val="en-US" w:eastAsia="zh-CN"/>
        </w:rPr>
        <w:t>服务期两年，合同一年一签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highlight w:val="none"/>
          <w:lang w:val="en-US" w:eastAsia="zh-CN"/>
        </w:rPr>
      </w:pPr>
      <w:r>
        <w:rPr>
          <w:rFonts w:hint="eastAsia"/>
          <w:sz w:val="21"/>
          <w:szCs w:val="21"/>
          <w:highlight w:val="none"/>
          <w:lang w:val="en-US" w:eastAsia="zh-CN"/>
        </w:rPr>
        <w:t>三、服务</w:t>
      </w:r>
      <w:r>
        <w:rPr>
          <w:rFonts w:hint="eastAsia"/>
          <w:sz w:val="21"/>
          <w:szCs w:val="21"/>
          <w:highlight w:val="none"/>
          <w:lang w:eastAsia="zh-CN"/>
        </w:rPr>
        <w:t>地点：</w:t>
      </w:r>
      <w:r>
        <w:rPr>
          <w:rFonts w:hint="eastAsia"/>
          <w:sz w:val="21"/>
          <w:szCs w:val="21"/>
          <w:highlight w:val="none"/>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sz w:val="21"/>
          <w:szCs w:val="21"/>
          <w:highlight w:val="none"/>
        </w:rPr>
      </w:pPr>
      <w:r>
        <w:rPr>
          <w:rFonts w:hint="eastAsia"/>
          <w:b/>
          <w:bCs/>
          <w:color w:val="000000"/>
          <w:sz w:val="21"/>
          <w:szCs w:val="21"/>
          <w:highlight w:val="none"/>
          <w:lang w:val="en-US" w:eastAsia="zh-CN"/>
        </w:rPr>
        <w:t>四、</w:t>
      </w:r>
      <w:r>
        <w:rPr>
          <w:rFonts w:hint="eastAsia"/>
          <w:b/>
          <w:bCs/>
          <w:color w:val="000000"/>
          <w:sz w:val="21"/>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合同签订后十日内支付全年维保费用的50%，维保费汇至维保单位指定账户。余款在第二次集中维保结束十日内支付。以上付款均不计利息，</w:t>
      </w:r>
      <w:r>
        <w:rPr>
          <w:rFonts w:hint="eastAsia" w:ascii="Times New Roman" w:hAnsi="Times New Roman" w:eastAsia="宋体" w:cs="Times New Roman"/>
          <w:color w:val="000000"/>
          <w:sz w:val="21"/>
          <w:szCs w:val="21"/>
          <w:highlight w:val="none"/>
        </w:rPr>
        <w:t>所有付款均须开具正式发票。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AC"/>
    <w:rsid w:val="003E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eastAsia="楷体_GB2312"/>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styleId="5">
    <w:name w:val="footer"/>
    <w:basedOn w:val="1"/>
    <w:uiPriority w:val="0"/>
    <w:pPr>
      <w:tabs>
        <w:tab w:val="center" w:pos="4153"/>
        <w:tab w:val="right" w:pos="8306"/>
      </w:tabs>
      <w:snapToGrid w:val="0"/>
      <w:jc w:val="left"/>
    </w:pPr>
    <w:rPr>
      <w:kern w:val="0"/>
      <w:sz w:val="18"/>
      <w:szCs w:val="18"/>
    </w:rPr>
  </w:style>
  <w:style w:type="paragraph" w:customStyle="1" w:styleId="8">
    <w:name w:val="样式1"/>
    <w:basedOn w:val="1"/>
    <w:uiPriority w:val="0"/>
    <w:pPr>
      <w:numPr>
        <w:ilvl w:val="0"/>
        <w:numId w:val="1"/>
      </w:numPr>
      <w:adjustRightInd w:val="0"/>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2021-07-27T08:17:00Z</dcterms:created>
  <dc:creator>Administrator</dc:creator>
  <cp:lastModifiedBy>Administrator</cp:lastModifiedBy>
  <dcterms:modified xsi:type="dcterms:W3CDTF">2021-07-27T08:18:20Z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254E967B25A8473CA07F59F0BD6C09EC</vt:lpwstr>
  </property>
</Properties>
</file>