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pPr>
        <w:spacing w:line="720" w:lineRule="auto"/>
        <w:jc w:val="center"/>
        <w:rPr>
          <w:rFonts w:ascii="宋体" w:hAnsi="宋体" w:cs="宋体"/>
          <w:spacing w:val="-17"/>
          <w:sz w:val="44"/>
          <w:szCs w:val="44"/>
        </w:rPr>
      </w:pPr>
      <w:r>
        <w:rPr>
          <w:rFonts w:hint="eastAsia" w:ascii="宋体" w:hAnsi="宋体" w:cs="宋体"/>
          <w:spacing w:val="-17"/>
          <w:sz w:val="44"/>
          <w:szCs w:val="44"/>
        </w:rPr>
        <w:t>江苏省南通市人民检察院办案场所家具采购项目</w:t>
      </w:r>
    </w:p>
    <w:p>
      <w:pPr>
        <w:tabs>
          <w:tab w:val="left" w:pos="6300"/>
        </w:tabs>
        <w:snapToGrid w:val="0"/>
        <w:spacing w:line="300" w:lineRule="auto"/>
        <w:jc w:val="center"/>
        <w:rPr>
          <w:rFonts w:ascii="宋体" w:hAnsi="宋体"/>
          <w:w w:val="80"/>
          <w:sz w:val="84"/>
        </w:rPr>
      </w:pPr>
    </w:p>
    <w:p>
      <w:pPr>
        <w:spacing w:line="1400" w:lineRule="exact"/>
        <w:jc w:val="center"/>
        <w:rPr>
          <w:rFonts w:ascii="宋体" w:hAnsi="宋体"/>
          <w:b/>
          <w:sz w:val="72"/>
          <w:szCs w:val="72"/>
        </w:rPr>
      </w:pPr>
      <w:r>
        <w:rPr>
          <w:rFonts w:ascii="宋体" w:hAnsi="宋体"/>
          <w:b/>
          <w:sz w:val="72"/>
          <w:szCs w:val="72"/>
        </w:rPr>
        <w:t>竞争性磋商文件</w:t>
      </w:r>
    </w:p>
    <w:p>
      <w:pPr>
        <w:spacing w:line="720" w:lineRule="auto"/>
        <w:jc w:val="center"/>
        <w:rPr>
          <w:rFonts w:ascii="宋体" w:hAnsi="宋体"/>
          <w:b/>
          <w:sz w:val="44"/>
          <w:szCs w:val="44"/>
        </w:rPr>
      </w:pPr>
      <w:r>
        <w:rPr>
          <w:rFonts w:hint="eastAsia" w:ascii="宋体" w:hAnsi="宋体"/>
          <w:b/>
          <w:sz w:val="44"/>
          <w:szCs w:val="44"/>
        </w:rPr>
        <w:t>（资格后审）</w:t>
      </w:r>
    </w:p>
    <w:p>
      <w:pPr>
        <w:pStyle w:val="2"/>
        <w:ind w:left="0" w:leftChars="0" w:firstLine="0" w:firstLineChars="0"/>
      </w:pPr>
    </w:p>
    <w:p>
      <w:pPr>
        <w:snapToGrid w:val="0"/>
        <w:spacing w:line="360" w:lineRule="auto"/>
        <w:rPr>
          <w:rFonts w:ascii="宋体" w:hAnsi="宋体"/>
          <w:b/>
          <w:sz w:val="36"/>
        </w:rPr>
      </w:pPr>
    </w:p>
    <w:p>
      <w:pPr>
        <w:snapToGrid w:val="0"/>
        <w:spacing w:line="360" w:lineRule="auto"/>
        <w:jc w:val="center"/>
        <w:rPr>
          <w:rFonts w:ascii="宋体" w:hAnsi="宋体"/>
          <w:b/>
          <w:sz w:val="36"/>
        </w:rPr>
      </w:pPr>
    </w:p>
    <w:p>
      <w:pPr>
        <w:snapToGrid w:val="0"/>
        <w:spacing w:line="360" w:lineRule="auto"/>
        <w:jc w:val="center"/>
        <w:rPr>
          <w:rFonts w:ascii="宋体" w:hAnsi="宋体"/>
          <w:b/>
          <w:sz w:val="36"/>
        </w:rPr>
      </w:pPr>
    </w:p>
    <w:p>
      <w:pPr>
        <w:adjustRightInd w:val="0"/>
        <w:snapToGrid w:val="0"/>
        <w:spacing w:line="360" w:lineRule="auto"/>
        <w:ind w:firstLine="1506" w:firstLineChars="500"/>
        <w:rPr>
          <w:rFonts w:ascii="宋体" w:hAnsi="宋体" w:cs="宋体"/>
          <w:b/>
          <w:sz w:val="30"/>
          <w:szCs w:val="30"/>
        </w:rPr>
      </w:pPr>
      <w:r>
        <w:rPr>
          <w:rFonts w:hint="eastAsia" w:ascii="宋体" w:hAnsi="宋体" w:cs="宋体"/>
          <w:b/>
          <w:sz w:val="30"/>
          <w:szCs w:val="30"/>
        </w:rPr>
        <w:t>采购单位：江苏省南通市人民检察院</w:t>
      </w:r>
    </w:p>
    <w:p>
      <w:pPr>
        <w:adjustRightInd w:val="0"/>
        <w:snapToGrid w:val="0"/>
        <w:spacing w:line="360" w:lineRule="auto"/>
        <w:ind w:firstLine="1506" w:firstLineChars="500"/>
        <w:rPr>
          <w:rFonts w:ascii="宋体" w:hAnsi="宋体" w:cs="宋体"/>
          <w:b/>
          <w:sz w:val="30"/>
          <w:szCs w:val="30"/>
        </w:rPr>
      </w:pPr>
      <w:r>
        <w:rPr>
          <w:rFonts w:hint="eastAsia" w:ascii="宋体" w:hAnsi="宋体" w:cs="宋体"/>
          <w:b/>
          <w:sz w:val="30"/>
          <w:szCs w:val="30"/>
        </w:rPr>
        <w:t>代理机构：南通正扬工程项目管理有限公司</w:t>
      </w:r>
    </w:p>
    <w:p>
      <w:pPr>
        <w:adjustRightInd w:val="0"/>
        <w:snapToGrid w:val="0"/>
        <w:spacing w:line="360" w:lineRule="auto"/>
        <w:jc w:val="center"/>
        <w:rPr>
          <w:rFonts w:ascii="宋体" w:hAnsi="宋体" w:cs="宋体"/>
          <w:b/>
          <w:sz w:val="30"/>
          <w:szCs w:val="30"/>
        </w:rPr>
      </w:pPr>
    </w:p>
    <w:p>
      <w:pPr>
        <w:adjustRightInd w:val="0"/>
        <w:snapToGrid w:val="0"/>
        <w:spacing w:line="360" w:lineRule="auto"/>
        <w:jc w:val="center"/>
        <w:rPr>
          <w:rFonts w:ascii="宋体" w:hAnsi="宋体"/>
          <w:b/>
          <w:sz w:val="30"/>
          <w:szCs w:val="30"/>
        </w:rPr>
      </w:pPr>
      <w:r>
        <w:rPr>
          <w:rFonts w:hint="eastAsia" w:ascii="宋体" w:hAnsi="宋体" w:cs="宋体"/>
          <w:b/>
          <w:sz w:val="30"/>
          <w:szCs w:val="30"/>
        </w:rPr>
        <w:t>二〇二〇年十</w:t>
      </w:r>
      <w:r>
        <w:rPr>
          <w:rFonts w:hint="eastAsia" w:ascii="宋体" w:hAnsi="宋体" w:cs="宋体"/>
          <w:b/>
          <w:sz w:val="30"/>
          <w:szCs w:val="30"/>
          <w:lang w:val="en-US" w:eastAsia="zh-CN"/>
        </w:rPr>
        <w:t>一</w:t>
      </w:r>
      <w:r>
        <w:rPr>
          <w:rFonts w:hint="eastAsia" w:ascii="宋体" w:hAnsi="宋体" w:cs="宋体"/>
          <w:b/>
          <w:sz w:val="30"/>
          <w:szCs w:val="30"/>
        </w:rPr>
        <w:t>月</w:t>
      </w:r>
      <w:r>
        <w:rPr>
          <w:rFonts w:hint="eastAsia" w:ascii="宋体" w:hAnsi="宋体" w:cs="宋体"/>
          <w:b/>
          <w:sz w:val="30"/>
          <w:szCs w:val="30"/>
          <w:lang w:val="en-US" w:eastAsia="zh-CN"/>
        </w:rPr>
        <w:t>十九</w:t>
      </w:r>
      <w:r>
        <w:rPr>
          <w:rFonts w:hint="eastAsia" w:ascii="宋体" w:hAnsi="宋体" w:cs="宋体"/>
          <w:b/>
          <w:sz w:val="30"/>
          <w:szCs w:val="30"/>
        </w:rPr>
        <w:t>日</w:t>
      </w:r>
    </w:p>
    <w:p>
      <w:pPr>
        <w:rPr>
          <w:rFonts w:ascii="宋体" w:hAnsi="宋体" w:cs="宋体"/>
          <w:b/>
          <w:sz w:val="44"/>
          <w:szCs w:val="44"/>
        </w:rPr>
      </w:pPr>
      <w:r>
        <w:rPr>
          <w:rFonts w:ascii="宋体" w:hAnsi="宋体" w:cs="宋体"/>
          <w:b/>
          <w:sz w:val="44"/>
          <w:szCs w:val="44"/>
        </w:rPr>
        <w:br w:type="page"/>
      </w:r>
    </w:p>
    <w:p>
      <w:pPr>
        <w:jc w:val="cente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竞争性磋商文件备案表</w:t>
      </w:r>
    </w:p>
    <w:p>
      <w:pPr>
        <w:jc w:val="center"/>
        <w:rPr>
          <w:rFonts w:ascii="宋体" w:hAnsi="宋体" w:cs="宋体"/>
          <w:b/>
          <w:sz w:val="44"/>
          <w:szCs w:val="44"/>
        </w:rPr>
      </w:pP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tcPr>
          <w:p>
            <w:pPr>
              <w:spacing w:line="360" w:lineRule="auto"/>
              <w:jc w:val="center"/>
              <w:rPr>
                <w:rFonts w:ascii="宋体" w:hAnsi="宋体" w:cs="宋体"/>
                <w:position w:val="-48"/>
                <w:sz w:val="25"/>
              </w:rPr>
            </w:pPr>
          </w:p>
          <w:p>
            <w:pPr>
              <w:spacing w:line="360" w:lineRule="auto"/>
              <w:jc w:val="center"/>
              <w:rPr>
                <w:rFonts w:ascii="宋体" w:hAnsi="宋体" w:cs="宋体"/>
                <w:position w:val="-48"/>
                <w:sz w:val="25"/>
              </w:rPr>
            </w:pPr>
          </w:p>
          <w:p>
            <w:pPr>
              <w:spacing w:line="360" w:lineRule="auto"/>
              <w:ind w:firstLine="3000" w:firstLineChars="1200"/>
              <w:rPr>
                <w:rFonts w:ascii="宋体" w:hAnsi="宋体" w:cs="宋体"/>
                <w:position w:val="-48"/>
                <w:sz w:val="25"/>
              </w:rPr>
            </w:pPr>
            <w:r>
              <w:rPr>
                <w:rFonts w:hint="eastAsia" w:ascii="宋体" w:hAnsi="宋体" w:cs="宋体"/>
                <w:position w:val="-48"/>
                <w:sz w:val="25"/>
              </w:rPr>
              <w:t xml:space="preserve">编制人：李艳梅 </w:t>
            </w:r>
          </w:p>
          <w:p>
            <w:pPr>
              <w:tabs>
                <w:tab w:val="left" w:pos="3492"/>
              </w:tabs>
              <w:spacing w:line="360" w:lineRule="auto"/>
              <w:ind w:firstLine="3000" w:firstLineChars="1200"/>
              <w:rPr>
                <w:rFonts w:ascii="宋体" w:hAnsi="宋体" w:cs="宋体"/>
                <w:position w:val="-48"/>
                <w:sz w:val="25"/>
              </w:rPr>
            </w:pPr>
            <w:r>
              <w:rPr>
                <w:rFonts w:hint="eastAsia" w:ascii="宋体" w:hAnsi="宋体" w:cs="宋体"/>
                <w:position w:val="-48"/>
                <w:sz w:val="25"/>
              </w:rPr>
              <w:t>日  期：2020年</w:t>
            </w:r>
            <w:r>
              <w:rPr>
                <w:rFonts w:hint="eastAsia" w:ascii="宋体" w:hAnsi="宋体" w:cs="宋体"/>
                <w:position w:val="-48"/>
                <w:sz w:val="25"/>
                <w:lang w:val="en-US" w:eastAsia="zh-CN"/>
              </w:rPr>
              <w:t>11</w:t>
            </w:r>
            <w:r>
              <w:rPr>
                <w:rFonts w:hint="eastAsia" w:ascii="宋体" w:hAnsi="宋体" w:cs="宋体"/>
                <w:position w:val="-48"/>
                <w:sz w:val="25"/>
              </w:rPr>
              <w:t>月</w:t>
            </w:r>
            <w:r>
              <w:rPr>
                <w:rFonts w:hint="eastAsia" w:ascii="宋体" w:hAnsi="宋体" w:cs="宋体"/>
                <w:position w:val="-48"/>
                <w:sz w:val="25"/>
                <w:lang w:val="en-US" w:eastAsia="zh-CN"/>
              </w:rPr>
              <w:t>19</w:t>
            </w:r>
            <w:r>
              <w:rPr>
                <w:rFonts w:hint="eastAsia" w:ascii="宋体" w:hAnsi="宋体" w:cs="宋体"/>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tcPr>
          <w:p>
            <w:pPr>
              <w:spacing w:line="360" w:lineRule="auto"/>
              <w:rPr>
                <w:rFonts w:ascii="宋体" w:hAnsi="宋体" w:cs="宋体"/>
                <w:position w:val="-48"/>
                <w:sz w:val="25"/>
              </w:rPr>
            </w:pPr>
          </w:p>
          <w:p>
            <w:pPr>
              <w:spacing w:line="360" w:lineRule="auto"/>
              <w:ind w:firstLine="625" w:firstLineChars="250"/>
              <w:jc w:val="center"/>
              <w:rPr>
                <w:rFonts w:ascii="宋体" w:hAnsi="宋体" w:cs="宋体"/>
                <w:position w:val="-48"/>
                <w:sz w:val="25"/>
              </w:rPr>
            </w:pPr>
          </w:p>
          <w:p>
            <w:pPr>
              <w:spacing w:line="360" w:lineRule="auto"/>
              <w:ind w:firstLine="625" w:firstLineChars="250"/>
              <w:jc w:val="center"/>
              <w:rPr>
                <w:rFonts w:ascii="宋体" w:hAnsi="宋体" w:cs="宋体"/>
                <w:position w:val="-48"/>
                <w:sz w:val="25"/>
              </w:rPr>
            </w:pPr>
          </w:p>
          <w:p>
            <w:pPr>
              <w:spacing w:line="360" w:lineRule="auto"/>
              <w:ind w:firstLine="625" w:firstLineChars="250"/>
              <w:jc w:val="center"/>
              <w:rPr>
                <w:rFonts w:ascii="宋体" w:hAnsi="宋体" w:cs="宋体"/>
                <w:position w:val="-48"/>
                <w:sz w:val="25"/>
              </w:rPr>
            </w:pPr>
            <w:r>
              <w:rPr>
                <w:rFonts w:hint="eastAsia" w:ascii="宋体" w:hAnsi="宋体" w:cs="宋体"/>
                <w:position w:val="-48"/>
                <w:sz w:val="25"/>
              </w:rPr>
              <w:t>采购单位（盖章）            法定代表人（签字或盖章）</w:t>
            </w:r>
          </w:p>
          <w:p>
            <w:pPr>
              <w:spacing w:line="360" w:lineRule="auto"/>
              <w:rPr>
                <w:rFonts w:ascii="宋体" w:hAnsi="宋体" w:cs="宋体"/>
                <w:position w:val="-48"/>
                <w:sz w:val="25"/>
              </w:rPr>
            </w:pPr>
          </w:p>
          <w:p>
            <w:pPr>
              <w:spacing w:line="360" w:lineRule="auto"/>
              <w:jc w:val="center"/>
              <w:rPr>
                <w:rFonts w:ascii="宋体" w:hAnsi="宋体" w:cs="宋体"/>
                <w:position w:val="-48"/>
                <w:sz w:val="25"/>
              </w:rPr>
            </w:pPr>
            <w:r>
              <w:rPr>
                <w:rFonts w:hint="eastAsia" w:ascii="宋体" w:hAnsi="宋体" w:cs="宋体"/>
                <w:position w:val="-48"/>
                <w:sz w:val="25"/>
              </w:rPr>
              <w:t xml:space="preserve">   代理机构（盖章）            法定代表人（签字或盖章）</w:t>
            </w:r>
          </w:p>
          <w:p>
            <w:pPr>
              <w:spacing w:line="360" w:lineRule="auto"/>
              <w:rPr>
                <w:rFonts w:ascii="宋体" w:hAnsi="宋体" w:cs="宋体"/>
                <w:position w:val="-48"/>
                <w:sz w:val="25"/>
              </w:rPr>
            </w:pPr>
          </w:p>
          <w:p>
            <w:pPr>
              <w:spacing w:line="360" w:lineRule="auto"/>
              <w:jc w:val="center"/>
              <w:rPr>
                <w:rFonts w:ascii="宋体" w:hAnsi="宋体" w:cs="宋体"/>
                <w:position w:val="-48"/>
                <w:sz w:val="25"/>
              </w:rPr>
            </w:pPr>
            <w:r>
              <w:rPr>
                <w:rFonts w:hint="eastAsia" w:ascii="宋体" w:hAnsi="宋体" w:cs="宋体"/>
                <w:position w:val="-48"/>
                <w:sz w:val="25"/>
              </w:rPr>
              <w:t>日  期：2020年</w:t>
            </w:r>
            <w:r>
              <w:rPr>
                <w:rFonts w:hint="eastAsia" w:ascii="宋体" w:hAnsi="宋体" w:cs="宋体"/>
                <w:position w:val="-48"/>
                <w:sz w:val="25"/>
                <w:lang w:val="en-US" w:eastAsia="zh-CN"/>
              </w:rPr>
              <w:t>11</w:t>
            </w:r>
            <w:r>
              <w:rPr>
                <w:rFonts w:hint="eastAsia" w:ascii="宋体" w:hAnsi="宋体" w:cs="宋体"/>
                <w:position w:val="-48"/>
                <w:sz w:val="25"/>
              </w:rPr>
              <w:t>月</w:t>
            </w:r>
            <w:r>
              <w:rPr>
                <w:rFonts w:hint="eastAsia" w:ascii="宋体" w:hAnsi="宋体" w:cs="宋体"/>
                <w:position w:val="-48"/>
                <w:sz w:val="25"/>
                <w:lang w:val="en-US" w:eastAsia="zh-CN"/>
              </w:rPr>
              <w:t>19</w:t>
            </w:r>
            <w:r>
              <w:rPr>
                <w:rFonts w:hint="eastAsia" w:ascii="宋体" w:hAnsi="宋体" w:cs="宋体"/>
                <w:position w:val="-48"/>
                <w:sz w:val="25"/>
              </w:rPr>
              <w:t>日</w:t>
            </w:r>
          </w:p>
        </w:tc>
      </w:tr>
    </w:tbl>
    <w:p>
      <w:pPr>
        <w:pStyle w:val="2"/>
        <w:sectPr>
          <w:footerReference r:id="rId3" w:type="first"/>
          <w:pgSz w:w="11906" w:h="16838"/>
          <w:pgMar w:top="1418" w:right="1418" w:bottom="646" w:left="1418" w:header="851" w:footer="992" w:gutter="0"/>
          <w:cols w:space="720" w:num="1"/>
          <w:docGrid w:linePitch="312" w:charSpace="0"/>
        </w:sectPr>
      </w:pPr>
    </w:p>
    <w:p>
      <w:pPr>
        <w:pStyle w:val="9"/>
        <w:overflowPunct w:val="0"/>
        <w:ind w:firstLine="0"/>
        <w:jc w:val="center"/>
        <w:rPr>
          <w:rFonts w:ascii="宋体" w:hAnsi="宋体" w:eastAsia="宋体"/>
          <w:b/>
          <w:sz w:val="44"/>
          <w:szCs w:val="44"/>
        </w:rPr>
      </w:pPr>
      <w:r>
        <w:rPr>
          <w:rFonts w:hint="eastAsia" w:ascii="宋体" w:hAnsi="宋体" w:eastAsia="宋体"/>
          <w:b/>
          <w:sz w:val="44"/>
          <w:szCs w:val="44"/>
        </w:rPr>
        <w:t>目  录</w:t>
      </w:r>
    </w:p>
    <w:p>
      <w:pPr>
        <w:pStyle w:val="9"/>
        <w:overflowPunct w:val="0"/>
        <w:ind w:firstLine="0"/>
        <w:jc w:val="center"/>
        <w:rPr>
          <w:rFonts w:ascii="宋体" w:hAnsi="宋体" w:eastAsia="宋体"/>
          <w:sz w:val="30"/>
        </w:rPr>
      </w:pPr>
    </w:p>
    <w:p>
      <w:pPr>
        <w:pStyle w:val="18"/>
        <w:tabs>
          <w:tab w:val="right" w:leader="dot" w:pos="9528"/>
        </w:tabs>
        <w:spacing w:line="1200" w:lineRule="exact"/>
        <w:rPr>
          <w:rFonts w:ascii="宋体" w:hAnsi="宋体" w:eastAsia="宋体"/>
          <w:sz w:val="32"/>
          <w:szCs w:val="32"/>
        </w:rPr>
      </w:pPr>
      <w:r>
        <w:rPr>
          <w:rFonts w:ascii="宋体" w:hAnsi="宋体" w:eastAsia="宋体"/>
          <w:b/>
          <w:bCs/>
          <w:sz w:val="36"/>
          <w:szCs w:val="36"/>
        </w:rPr>
        <w:fldChar w:fldCharType="begin"/>
      </w:r>
      <w:r>
        <w:rPr>
          <w:rFonts w:ascii="宋体" w:hAnsi="宋体" w:eastAsia="宋体"/>
          <w:b/>
          <w:bCs/>
          <w:sz w:val="36"/>
          <w:szCs w:val="36"/>
        </w:rPr>
        <w:instrText xml:space="preserve"> TOC \o "1-1"</w:instrText>
      </w:r>
      <w:r>
        <w:rPr>
          <w:rFonts w:ascii="宋体" w:hAnsi="宋体" w:eastAsia="宋体"/>
          <w:b/>
          <w:bCs/>
          <w:sz w:val="36"/>
          <w:szCs w:val="36"/>
        </w:rPr>
        <w:fldChar w:fldCharType="separate"/>
      </w:r>
      <w:r>
        <w:rPr>
          <w:rFonts w:ascii="宋体" w:hAnsi="宋体" w:eastAsia="宋体"/>
          <w:sz w:val="32"/>
          <w:szCs w:val="32"/>
        </w:rPr>
        <w:t xml:space="preserve">第一章 </w:t>
      </w:r>
      <w:r>
        <w:rPr>
          <w:rFonts w:hint="eastAsia" w:ascii="宋体" w:hAnsi="宋体" w:eastAsia="宋体"/>
          <w:sz w:val="32"/>
          <w:szCs w:val="32"/>
        </w:rPr>
        <w:t>竞争性磋商公告</w:t>
      </w:r>
    </w:p>
    <w:p>
      <w:pPr>
        <w:pStyle w:val="18"/>
        <w:tabs>
          <w:tab w:val="right" w:leader="dot" w:pos="9528"/>
        </w:tabs>
        <w:spacing w:line="1200" w:lineRule="exact"/>
        <w:rPr>
          <w:rFonts w:ascii="宋体" w:hAnsi="宋体" w:eastAsia="宋体"/>
          <w:sz w:val="32"/>
          <w:szCs w:val="32"/>
        </w:rPr>
      </w:pPr>
      <w:r>
        <w:rPr>
          <w:rFonts w:ascii="宋体" w:hAnsi="宋体" w:eastAsia="宋体"/>
          <w:sz w:val="32"/>
          <w:szCs w:val="32"/>
        </w:rPr>
        <w:t>第二章 投标</w:t>
      </w:r>
      <w:r>
        <w:rPr>
          <w:rFonts w:hint="eastAsia" w:ascii="宋体" w:hAnsi="宋体" w:eastAsia="宋体"/>
          <w:sz w:val="32"/>
          <w:szCs w:val="32"/>
        </w:rPr>
        <w:t>供应商</w:t>
      </w:r>
      <w:r>
        <w:rPr>
          <w:rFonts w:ascii="宋体" w:hAnsi="宋体" w:eastAsia="宋体"/>
          <w:sz w:val="32"/>
          <w:szCs w:val="32"/>
        </w:rPr>
        <w:t>须知</w:t>
      </w:r>
    </w:p>
    <w:p>
      <w:pPr>
        <w:pStyle w:val="18"/>
        <w:tabs>
          <w:tab w:val="right" w:leader="dot" w:pos="9528"/>
        </w:tabs>
        <w:spacing w:line="1200" w:lineRule="exact"/>
        <w:rPr>
          <w:rFonts w:ascii="宋体" w:hAnsi="宋体" w:eastAsia="宋体"/>
          <w:sz w:val="32"/>
          <w:szCs w:val="32"/>
        </w:rPr>
      </w:pPr>
      <w:r>
        <w:rPr>
          <w:rFonts w:ascii="宋体" w:hAnsi="宋体" w:eastAsia="宋体"/>
          <w:sz w:val="32"/>
          <w:szCs w:val="32"/>
        </w:rPr>
        <w:t>第三章 项目需求</w:t>
      </w:r>
    </w:p>
    <w:p>
      <w:pPr>
        <w:pStyle w:val="18"/>
        <w:tabs>
          <w:tab w:val="right" w:leader="dot" w:pos="9528"/>
        </w:tabs>
        <w:spacing w:line="1200" w:lineRule="exact"/>
        <w:rPr>
          <w:rFonts w:ascii="宋体" w:hAnsi="宋体" w:eastAsia="宋体"/>
          <w:sz w:val="32"/>
          <w:szCs w:val="32"/>
        </w:rPr>
      </w:pPr>
      <w:r>
        <w:rPr>
          <w:rFonts w:ascii="宋体" w:hAnsi="宋体" w:eastAsia="宋体"/>
          <w:sz w:val="32"/>
          <w:szCs w:val="32"/>
        </w:rPr>
        <w:t>第</w:t>
      </w:r>
      <w:r>
        <w:rPr>
          <w:rFonts w:hint="eastAsia" w:ascii="宋体" w:hAnsi="宋体" w:eastAsia="宋体"/>
          <w:sz w:val="32"/>
          <w:szCs w:val="32"/>
        </w:rPr>
        <w:t>四</w:t>
      </w:r>
      <w:r>
        <w:rPr>
          <w:rFonts w:ascii="宋体" w:hAnsi="宋体" w:eastAsia="宋体"/>
          <w:sz w:val="32"/>
          <w:szCs w:val="32"/>
        </w:rPr>
        <w:t xml:space="preserve">章 </w:t>
      </w:r>
      <w:r>
        <w:rPr>
          <w:rFonts w:hint="eastAsia" w:ascii="宋体" w:hAnsi="宋体" w:eastAsia="宋体"/>
          <w:sz w:val="32"/>
          <w:szCs w:val="32"/>
        </w:rPr>
        <w:t>评审方法和程序</w:t>
      </w:r>
    </w:p>
    <w:p>
      <w:pPr>
        <w:pStyle w:val="18"/>
        <w:tabs>
          <w:tab w:val="right" w:leader="dot" w:pos="9528"/>
        </w:tabs>
        <w:spacing w:line="1200" w:lineRule="exact"/>
        <w:rPr>
          <w:rFonts w:ascii="宋体" w:hAnsi="宋体" w:eastAsia="宋体"/>
          <w:sz w:val="32"/>
          <w:szCs w:val="32"/>
        </w:rPr>
      </w:pPr>
      <w:r>
        <w:rPr>
          <w:rFonts w:ascii="宋体" w:hAnsi="宋体" w:eastAsia="宋体"/>
          <w:sz w:val="32"/>
          <w:szCs w:val="32"/>
        </w:rPr>
        <w:t>第</w:t>
      </w:r>
      <w:r>
        <w:rPr>
          <w:rFonts w:hint="eastAsia" w:ascii="宋体" w:hAnsi="宋体" w:eastAsia="宋体"/>
          <w:sz w:val="32"/>
          <w:szCs w:val="32"/>
        </w:rPr>
        <w:t>五</w:t>
      </w:r>
      <w:r>
        <w:rPr>
          <w:rFonts w:ascii="宋体" w:hAnsi="宋体" w:eastAsia="宋体"/>
          <w:sz w:val="32"/>
          <w:szCs w:val="32"/>
        </w:rPr>
        <w:t xml:space="preserve">章 </w:t>
      </w:r>
      <w:r>
        <w:rPr>
          <w:rFonts w:hint="eastAsia" w:ascii="宋体" w:hAnsi="宋体" w:eastAsia="宋体"/>
          <w:sz w:val="32"/>
          <w:szCs w:val="32"/>
        </w:rPr>
        <w:t>合同主要条款</w:t>
      </w:r>
    </w:p>
    <w:p>
      <w:pPr>
        <w:pStyle w:val="18"/>
        <w:tabs>
          <w:tab w:val="right" w:leader="dot" w:pos="9528"/>
        </w:tabs>
        <w:spacing w:line="1200" w:lineRule="exact"/>
        <w:rPr>
          <w:rFonts w:ascii="宋体" w:hAnsi="宋体" w:eastAsia="宋体"/>
          <w:sz w:val="32"/>
          <w:szCs w:val="32"/>
        </w:rPr>
      </w:pPr>
      <w:r>
        <w:rPr>
          <w:rFonts w:hint="eastAsia" w:ascii="宋体" w:hAnsi="宋体" w:eastAsia="宋体"/>
          <w:sz w:val="32"/>
          <w:szCs w:val="32"/>
        </w:rPr>
        <w:t>第六章 合同授予</w:t>
      </w:r>
    </w:p>
    <w:p>
      <w:pPr>
        <w:spacing w:line="1200" w:lineRule="exact"/>
        <w:rPr>
          <w:rFonts w:ascii="宋体" w:hAnsi="宋体"/>
          <w:sz w:val="32"/>
          <w:szCs w:val="32"/>
        </w:rPr>
      </w:pPr>
      <w:r>
        <w:rPr>
          <w:rFonts w:ascii="宋体" w:hAnsi="宋体"/>
          <w:sz w:val="32"/>
          <w:szCs w:val="32"/>
        </w:rPr>
        <w:t>第七章</w:t>
      </w:r>
      <w:r>
        <w:rPr>
          <w:rFonts w:hint="eastAsia" w:ascii="宋体" w:hAnsi="宋体"/>
          <w:sz w:val="32"/>
          <w:szCs w:val="32"/>
        </w:rPr>
        <w:t xml:space="preserve"> 质疑提出和处理</w:t>
      </w:r>
    </w:p>
    <w:p>
      <w:pPr>
        <w:spacing w:line="1200" w:lineRule="exact"/>
        <w:rPr>
          <w:rFonts w:ascii="宋体" w:hAnsi="宋体"/>
          <w:sz w:val="36"/>
          <w:szCs w:val="36"/>
        </w:rPr>
      </w:pPr>
      <w:r>
        <w:rPr>
          <w:rFonts w:ascii="宋体" w:hAnsi="宋体"/>
          <w:sz w:val="32"/>
          <w:szCs w:val="32"/>
        </w:rPr>
        <w:t>第八章</w:t>
      </w:r>
      <w:r>
        <w:rPr>
          <w:rFonts w:hint="eastAsia" w:ascii="宋体" w:hAnsi="宋体"/>
          <w:sz w:val="32"/>
          <w:szCs w:val="32"/>
        </w:rPr>
        <w:t xml:space="preserve"> 响应文件组成及格式</w:t>
      </w:r>
    </w:p>
    <w:p>
      <w:pPr>
        <w:rPr>
          <w:rFonts w:ascii="宋体" w:hAnsi="宋体"/>
          <w:b/>
          <w:bCs/>
          <w:sz w:val="36"/>
          <w:szCs w:val="36"/>
        </w:rPr>
      </w:pPr>
      <w:r>
        <w:rPr>
          <w:rFonts w:ascii="宋体" w:hAnsi="宋体"/>
          <w:b/>
          <w:bCs/>
          <w:sz w:val="36"/>
          <w:szCs w:val="36"/>
        </w:rPr>
        <w:fldChar w:fldCharType="end"/>
      </w:r>
    </w:p>
    <w:p>
      <w:pPr>
        <w:rPr>
          <w:rFonts w:ascii="宋体" w:hAnsi="宋体"/>
          <w:b/>
          <w:bCs/>
          <w:sz w:val="36"/>
          <w:szCs w:val="36"/>
        </w:rPr>
      </w:pPr>
    </w:p>
    <w:p>
      <w:pPr>
        <w:rPr>
          <w:rFonts w:ascii="宋体" w:hAnsi="宋体"/>
          <w:b/>
          <w:bCs/>
          <w:sz w:val="36"/>
          <w:szCs w:val="36"/>
        </w:rPr>
      </w:pPr>
    </w:p>
    <w:p>
      <w:pPr>
        <w:rPr>
          <w:rFonts w:ascii="宋体" w:hAnsi="宋体"/>
          <w:b/>
          <w:bCs/>
          <w:sz w:val="36"/>
          <w:szCs w:val="36"/>
        </w:rPr>
      </w:pPr>
    </w:p>
    <w:p>
      <w:pPr>
        <w:snapToGrid w:val="0"/>
        <w:spacing w:line="360" w:lineRule="auto"/>
        <w:rPr>
          <w:rFonts w:ascii="宋体" w:hAnsi="宋体" w:cs="宋体"/>
          <w:b/>
          <w:szCs w:val="21"/>
        </w:rPr>
      </w:pPr>
      <w:r>
        <w:rPr>
          <w:rFonts w:ascii="宋体" w:hAnsi="宋体"/>
          <w:w w:val="80"/>
          <w:szCs w:val="44"/>
        </w:rPr>
        <w:br w:type="page"/>
      </w:r>
      <w:r>
        <w:rPr>
          <w:rFonts w:hint="eastAsia" w:ascii="宋体" w:hAnsi="宋体" w:cs="宋体"/>
          <w:b/>
          <w:szCs w:val="21"/>
        </w:rPr>
        <w:t>尊敬的投标供应商：</w:t>
      </w:r>
    </w:p>
    <w:p>
      <w:pPr>
        <w:pStyle w:val="5"/>
        <w:keepNext w:val="0"/>
        <w:keepLines w:val="0"/>
        <w:adjustRightInd w:val="0"/>
        <w:snapToGrid w:val="0"/>
        <w:spacing w:before="0" w:after="0" w:line="360" w:lineRule="auto"/>
        <w:ind w:firstLine="422" w:firstLineChars="200"/>
        <w:jc w:val="left"/>
        <w:textAlignment w:val="baseline"/>
        <w:rPr>
          <w:rFonts w:ascii="宋体" w:hAnsi="宋体" w:eastAsia="宋体"/>
          <w:w w:val="80"/>
          <w:szCs w:val="44"/>
        </w:rPr>
      </w:pPr>
      <w:r>
        <w:rPr>
          <w:rFonts w:hint="eastAsia" w:ascii="宋体"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5"/>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第一章  竞争性磋商公告</w:t>
      </w:r>
    </w:p>
    <w:p>
      <w:pPr>
        <w:spacing w:line="360" w:lineRule="auto"/>
        <w:ind w:firstLine="420" w:firstLineChars="200"/>
        <w:rPr>
          <w:rFonts w:ascii="宋体" w:hAnsi="宋体" w:cs="宋体"/>
          <w:szCs w:val="21"/>
        </w:rPr>
      </w:pPr>
      <w:r>
        <w:rPr>
          <w:rFonts w:hint="eastAsia" w:ascii="宋体" w:hAnsi="宋体" w:cs="宋体"/>
          <w:szCs w:val="21"/>
        </w:rPr>
        <w:t>南通正扬工程项目管理有限公司（以下简称代理机构）受江苏省南通市人民检察院（以下简称采购单位）的委托，对江苏省南通市人民检察院办案场所家具采购项目组织竞争性磋商采购，诚邀符合条件的潜在供应商参加该项目的竞争性磋商。</w:t>
      </w:r>
    </w:p>
    <w:p>
      <w:pPr>
        <w:spacing w:line="360" w:lineRule="auto"/>
        <w:rPr>
          <w:rFonts w:ascii="宋体" w:hAnsi="宋体" w:cs="宋体"/>
          <w:b/>
          <w:bCs/>
          <w:szCs w:val="21"/>
        </w:rPr>
      </w:pPr>
      <w:bookmarkStart w:id="0" w:name="_Toc35393798"/>
      <w:bookmarkStart w:id="1" w:name="_Toc35393629"/>
      <w:bookmarkStart w:id="2" w:name="_Toc28359089"/>
      <w:bookmarkStart w:id="3" w:name="_Toc28359012"/>
      <w:r>
        <w:rPr>
          <w:rFonts w:hint="eastAsia" w:ascii="宋体" w:hAnsi="宋体" w:cs="宋体"/>
          <w:b/>
          <w:bCs/>
          <w:szCs w:val="21"/>
        </w:rPr>
        <w:t>一、项目基本情况</w:t>
      </w:r>
      <w:bookmarkEnd w:id="0"/>
      <w:bookmarkEnd w:id="1"/>
      <w:bookmarkEnd w:id="2"/>
      <w:bookmarkEnd w:id="3"/>
    </w:p>
    <w:p>
      <w:pPr>
        <w:spacing w:line="360" w:lineRule="auto"/>
        <w:ind w:firstLine="420" w:firstLineChars="200"/>
        <w:rPr>
          <w:rFonts w:ascii="宋体" w:hAnsi="宋体" w:cs="宋体"/>
          <w:szCs w:val="21"/>
        </w:rPr>
      </w:pPr>
      <w:r>
        <w:rPr>
          <w:rFonts w:hint="eastAsia" w:ascii="宋体" w:hAnsi="宋体" w:cs="宋体"/>
          <w:szCs w:val="21"/>
        </w:rPr>
        <w:t>1、项目名称：江苏省南通市人民检察院办案场所家具采购项目</w:t>
      </w:r>
    </w:p>
    <w:p>
      <w:pPr>
        <w:spacing w:line="360" w:lineRule="auto"/>
        <w:ind w:firstLine="420" w:firstLineChars="200"/>
        <w:rPr>
          <w:rFonts w:ascii="宋体" w:hAnsi="宋体" w:cs="宋体"/>
          <w:szCs w:val="21"/>
        </w:rPr>
      </w:pPr>
      <w:r>
        <w:rPr>
          <w:rFonts w:hint="eastAsia" w:ascii="宋体" w:hAnsi="宋体" w:cs="宋体"/>
          <w:szCs w:val="21"/>
        </w:rPr>
        <w:t>2、采购方式：竞争性磋商</w:t>
      </w:r>
    </w:p>
    <w:p>
      <w:pPr>
        <w:spacing w:line="360" w:lineRule="auto"/>
        <w:ind w:firstLine="420" w:firstLineChars="200"/>
        <w:rPr>
          <w:rFonts w:ascii="宋体" w:hAnsi="宋体" w:cs="宋体"/>
          <w:szCs w:val="21"/>
        </w:rPr>
      </w:pPr>
      <w:r>
        <w:rPr>
          <w:rFonts w:hint="eastAsia" w:ascii="宋体" w:hAnsi="宋体" w:cs="宋体"/>
          <w:szCs w:val="21"/>
        </w:rPr>
        <w:t>3、项目预算：12万元</w:t>
      </w:r>
    </w:p>
    <w:p>
      <w:pPr>
        <w:spacing w:line="360" w:lineRule="auto"/>
        <w:ind w:firstLine="420" w:firstLineChars="200"/>
        <w:rPr>
          <w:rFonts w:ascii="宋体" w:hAnsi="宋体" w:cs="宋体"/>
          <w:szCs w:val="21"/>
        </w:rPr>
      </w:pPr>
      <w:r>
        <w:rPr>
          <w:rFonts w:hint="eastAsia" w:ascii="宋体" w:hAnsi="宋体" w:cs="宋体"/>
          <w:szCs w:val="21"/>
        </w:rPr>
        <w:t>4、最高限价：12万元</w:t>
      </w:r>
    </w:p>
    <w:p>
      <w:pPr>
        <w:spacing w:line="360" w:lineRule="auto"/>
        <w:ind w:firstLine="420" w:firstLineChars="200"/>
        <w:rPr>
          <w:rFonts w:ascii="宋体" w:hAnsi="宋体" w:cs="宋体"/>
          <w:szCs w:val="21"/>
        </w:rPr>
      </w:pPr>
      <w:r>
        <w:rPr>
          <w:rFonts w:hint="eastAsia" w:ascii="宋体" w:hAnsi="宋体" w:cs="宋体"/>
          <w:szCs w:val="21"/>
        </w:rPr>
        <w:t>5、项目需求：详见磋商文件第三章</w:t>
      </w:r>
    </w:p>
    <w:p>
      <w:pPr>
        <w:spacing w:line="360" w:lineRule="auto"/>
        <w:ind w:firstLine="420" w:firstLineChars="200"/>
        <w:rPr>
          <w:rFonts w:ascii="宋体" w:hAnsi="宋体" w:cs="宋体"/>
          <w:szCs w:val="21"/>
        </w:rPr>
      </w:pPr>
      <w:r>
        <w:rPr>
          <w:rFonts w:hint="eastAsia" w:ascii="宋体" w:hAnsi="宋体" w:cs="宋体"/>
          <w:szCs w:val="21"/>
        </w:rPr>
        <w:t>6、本项目不接受联合体投标</w:t>
      </w:r>
    </w:p>
    <w:p>
      <w:pPr>
        <w:spacing w:line="360" w:lineRule="auto"/>
        <w:rPr>
          <w:rFonts w:ascii="宋体" w:hAnsi="宋体" w:cs="宋体"/>
          <w:b/>
          <w:bCs/>
          <w:szCs w:val="21"/>
        </w:rPr>
      </w:pPr>
      <w:bookmarkStart w:id="4" w:name="_Toc35393630"/>
      <w:bookmarkStart w:id="5" w:name="_Toc35393799"/>
      <w:bookmarkStart w:id="6" w:name="_Toc28359013"/>
      <w:bookmarkStart w:id="7" w:name="_Toc28359090"/>
      <w:r>
        <w:rPr>
          <w:rFonts w:hint="eastAsia" w:ascii="宋体" w:hAnsi="宋体" w:cs="宋体"/>
          <w:b/>
          <w:bCs/>
          <w:szCs w:val="21"/>
        </w:rPr>
        <w:t>二、供应商资格要求</w:t>
      </w:r>
      <w:bookmarkEnd w:id="4"/>
      <w:bookmarkEnd w:id="5"/>
      <w:bookmarkEnd w:id="6"/>
      <w:bookmarkEnd w:id="7"/>
    </w:p>
    <w:p>
      <w:pPr>
        <w:widowControl/>
        <w:snapToGrid w:val="0"/>
        <w:spacing w:line="360" w:lineRule="auto"/>
        <w:ind w:firstLine="411" w:firstLineChars="196"/>
        <w:jc w:val="left"/>
        <w:rPr>
          <w:rFonts w:ascii="宋体" w:hAnsi="宋体" w:cs="宋体"/>
          <w:szCs w:val="21"/>
        </w:rPr>
      </w:pPr>
      <w:r>
        <w:rPr>
          <w:rFonts w:hint="eastAsia" w:ascii="宋体" w:hAnsi="宋体" w:cs="宋体"/>
          <w:szCs w:val="21"/>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widowControl/>
        <w:snapToGrid w:val="0"/>
        <w:spacing w:line="360" w:lineRule="auto"/>
        <w:ind w:firstLine="411" w:firstLineChars="196"/>
        <w:jc w:val="left"/>
        <w:rPr>
          <w:rFonts w:ascii="宋体" w:hAnsi="宋体" w:cs="宋体"/>
          <w:szCs w:val="21"/>
        </w:rPr>
      </w:pPr>
      <w:r>
        <w:rPr>
          <w:rFonts w:hint="eastAsia" w:ascii="宋体" w:hAnsi="宋体" w:cs="宋体"/>
          <w:szCs w:val="21"/>
        </w:rPr>
        <w:t>2、法定代表人为同一个人的两个及两个以上法人，母公司、全资子公司及其控股公司，都不得在同一采购项目相同标段中同时参加投标，一经发现，将视同围标处理。</w:t>
      </w:r>
    </w:p>
    <w:p>
      <w:pPr>
        <w:widowControl/>
        <w:snapToGrid w:val="0"/>
        <w:spacing w:line="360" w:lineRule="auto"/>
        <w:jc w:val="left"/>
        <w:rPr>
          <w:rFonts w:ascii="宋体" w:hAnsi="宋体" w:cs="宋体"/>
          <w:szCs w:val="21"/>
        </w:rPr>
      </w:pPr>
      <w:r>
        <w:rPr>
          <w:rFonts w:hint="eastAsia" w:ascii="宋体" w:hAnsi="宋体" w:cs="宋体"/>
          <w:b/>
          <w:bCs/>
          <w:szCs w:val="21"/>
        </w:rPr>
        <w:t>供应商其它资格要求</w:t>
      </w:r>
      <w:r>
        <w:rPr>
          <w:rFonts w:hint="eastAsia" w:ascii="宋体" w:hAnsi="宋体" w:cs="宋体"/>
          <w:szCs w:val="21"/>
        </w:rPr>
        <w:t>：</w:t>
      </w:r>
    </w:p>
    <w:p>
      <w:pPr>
        <w:widowControl/>
        <w:numPr>
          <w:ilvl w:val="0"/>
          <w:numId w:val="1"/>
        </w:numPr>
        <w:snapToGrid w:val="0"/>
        <w:spacing w:line="360" w:lineRule="auto"/>
        <w:ind w:firstLine="411" w:firstLineChars="196"/>
        <w:jc w:val="left"/>
        <w:rPr>
          <w:rFonts w:ascii="宋体" w:hAnsi="宋体" w:cs="宋体"/>
          <w:szCs w:val="21"/>
        </w:rPr>
      </w:pPr>
      <w:r>
        <w:rPr>
          <w:rFonts w:hint="eastAsia" w:ascii="宋体" w:hAnsi="宋体" w:cs="宋体"/>
          <w:szCs w:val="21"/>
        </w:rPr>
        <w:t>投标供应商必须具有独立的法人资格，提供有效的营业执照及税务登记证（或者是三证合一的营业执照），有能力提供本次采购项目所要求的服务。</w:t>
      </w:r>
    </w:p>
    <w:p>
      <w:pPr>
        <w:widowControl/>
        <w:numPr>
          <w:ilvl w:val="0"/>
          <w:numId w:val="1"/>
        </w:numPr>
        <w:snapToGrid w:val="0"/>
        <w:spacing w:line="360" w:lineRule="auto"/>
        <w:ind w:firstLine="411" w:firstLineChars="196"/>
        <w:jc w:val="left"/>
        <w:rPr>
          <w:rFonts w:ascii="宋体" w:hAnsi="宋体" w:cs="宋体"/>
          <w:szCs w:val="21"/>
        </w:rPr>
      </w:pPr>
      <w:r>
        <w:rPr>
          <w:rFonts w:hint="eastAsia" w:ascii="宋体" w:hAnsi="宋体" w:cs="宋体"/>
          <w:szCs w:val="21"/>
        </w:rPr>
        <w:t>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2020年</w:t>
      </w:r>
      <w:r>
        <w:rPr>
          <w:rFonts w:hint="eastAsia" w:ascii="宋体" w:hAnsi="宋体" w:cs="宋体"/>
          <w:szCs w:val="21"/>
          <w:lang w:val="en-US" w:eastAsia="zh-CN"/>
        </w:rPr>
        <w:t>4</w:t>
      </w:r>
      <w:r>
        <w:rPr>
          <w:rFonts w:hint="eastAsia" w:ascii="宋体" w:hAnsi="宋体" w:cs="宋体"/>
          <w:szCs w:val="21"/>
        </w:rPr>
        <w:t>月-2020年</w:t>
      </w:r>
      <w:r>
        <w:rPr>
          <w:rFonts w:hint="eastAsia" w:ascii="宋体" w:hAnsi="宋体" w:cs="宋体"/>
          <w:szCs w:val="21"/>
          <w:lang w:val="en-US" w:eastAsia="zh-CN"/>
        </w:rPr>
        <w:t>9</w:t>
      </w:r>
      <w:r>
        <w:rPr>
          <w:rFonts w:hint="eastAsia" w:ascii="宋体" w:hAnsi="宋体" w:cs="宋体"/>
          <w:szCs w:val="21"/>
        </w:rPr>
        <w:t>月连续六个月的养老保险缴费清单复印件】。</w:t>
      </w:r>
    </w:p>
    <w:p>
      <w:pPr>
        <w:widowControl/>
        <w:numPr>
          <w:ilvl w:val="0"/>
          <w:numId w:val="1"/>
        </w:numPr>
        <w:snapToGrid w:val="0"/>
        <w:spacing w:line="360" w:lineRule="auto"/>
        <w:ind w:firstLine="411" w:firstLineChars="196"/>
        <w:jc w:val="left"/>
        <w:rPr>
          <w:rFonts w:ascii="宋体" w:hAnsi="宋体" w:cs="宋体"/>
          <w:szCs w:val="21"/>
        </w:rPr>
      </w:pPr>
      <w:r>
        <w:rPr>
          <w:rFonts w:hint="eastAsia" w:ascii="宋体" w:hAnsi="宋体" w:cs="宋体"/>
          <w:szCs w:val="21"/>
        </w:rPr>
        <w:t>投标供应商若为外地公司，须承诺中标后在南通市范围内设立全资分支机构或者委托注册在南通市范围内的具有同等资质的代维公司售后服务，代维公司营业执照应具有本次采购项目的生产或经营范围，有能力提供本次采购所要求的服务（提供承诺函，格式自拟）。</w:t>
      </w:r>
    </w:p>
    <w:p>
      <w:pPr>
        <w:widowControl/>
        <w:numPr>
          <w:ilvl w:val="0"/>
          <w:numId w:val="1"/>
        </w:numPr>
        <w:snapToGrid w:val="0"/>
        <w:spacing w:line="360" w:lineRule="auto"/>
        <w:ind w:firstLine="411" w:firstLineChars="196"/>
        <w:jc w:val="left"/>
        <w:rPr>
          <w:rFonts w:ascii="宋体" w:hAnsi="宋体" w:cs="宋体"/>
          <w:szCs w:val="21"/>
        </w:rPr>
      </w:pPr>
      <w:r>
        <w:rPr>
          <w:rFonts w:hint="eastAsia" w:ascii="宋体" w:hAnsi="宋体" w:cs="宋体"/>
          <w:szCs w:val="21"/>
        </w:rPr>
        <w:t>投标供应商须提供参与本次项目政府采购活动前三年内，在经营活动中没有重大违法记录的书面《无重大违法记录声明函》（格式参见第八章）。</w:t>
      </w:r>
    </w:p>
    <w:p>
      <w:pPr>
        <w:widowControl/>
        <w:numPr>
          <w:ilvl w:val="0"/>
          <w:numId w:val="1"/>
        </w:numPr>
        <w:snapToGrid w:val="0"/>
        <w:spacing w:line="360" w:lineRule="auto"/>
        <w:ind w:firstLine="411" w:firstLineChars="196"/>
        <w:jc w:val="left"/>
        <w:rPr>
          <w:rFonts w:ascii="宋体" w:hAnsi="宋体" w:cs="宋体"/>
          <w:szCs w:val="21"/>
          <w:lang w:val="zh-CN"/>
        </w:rPr>
      </w:pPr>
      <w:r>
        <w:rPr>
          <w:rFonts w:hint="eastAsia" w:ascii="宋体" w:hAnsi="宋体" w:cs="宋体"/>
          <w:szCs w:val="21"/>
        </w:rPr>
        <w:t>关于资格文件的声明函（格式参见第八章）。</w:t>
      </w:r>
    </w:p>
    <w:p>
      <w:pPr>
        <w:widowControl/>
        <w:numPr>
          <w:ilvl w:val="0"/>
          <w:numId w:val="1"/>
        </w:numPr>
        <w:snapToGrid w:val="0"/>
        <w:spacing w:line="360" w:lineRule="auto"/>
        <w:ind w:firstLine="411" w:firstLineChars="196"/>
        <w:jc w:val="left"/>
        <w:rPr>
          <w:rFonts w:ascii="宋体" w:hAnsi="宋体" w:cs="宋体"/>
          <w:szCs w:val="21"/>
        </w:rPr>
      </w:pPr>
      <w:r>
        <w:rPr>
          <w:rFonts w:hint="eastAsia" w:ascii="宋体" w:hAnsi="宋体" w:cs="宋体"/>
          <w:szCs w:val="21"/>
        </w:rPr>
        <w:t>本项目不接受进口产品投标，此处进口产品是指通过中国海关报关验放进入中国境内且产自关境外的产品。</w:t>
      </w:r>
    </w:p>
    <w:p>
      <w:pPr>
        <w:widowControl/>
        <w:numPr>
          <w:ilvl w:val="0"/>
          <w:numId w:val="1"/>
        </w:numPr>
        <w:snapToGrid w:val="0"/>
        <w:spacing w:line="360" w:lineRule="auto"/>
        <w:ind w:firstLine="411" w:firstLineChars="196"/>
        <w:jc w:val="left"/>
        <w:rPr>
          <w:rFonts w:ascii="宋体" w:hAnsi="宋体" w:cs="宋体"/>
          <w:szCs w:val="21"/>
          <w:lang w:val="zh-CN"/>
        </w:rPr>
      </w:pPr>
      <w:r>
        <w:rPr>
          <w:rFonts w:hint="eastAsia" w:ascii="宋体" w:hAnsi="宋体" w:cs="宋体"/>
          <w:szCs w:val="21"/>
        </w:rPr>
        <w:t>本项目不接受任何形式的联合体投标。</w:t>
      </w:r>
    </w:p>
    <w:p>
      <w:pPr>
        <w:snapToGrid w:val="0"/>
        <w:spacing w:line="480" w:lineRule="exact"/>
        <w:ind w:firstLine="420" w:firstLineChars="200"/>
        <w:rPr>
          <w:rFonts w:ascii="宋体" w:hAnsi="宋体" w:cs="宋体"/>
          <w:szCs w:val="21"/>
          <w:lang w:val="zh-CN"/>
        </w:rPr>
      </w:pPr>
      <w:r>
        <w:rPr>
          <w:rFonts w:hint="eastAsia" w:ascii="宋体" w:hAnsi="宋体" w:cs="宋体"/>
          <w:szCs w:val="21"/>
          <w:lang w:val="zh-CN"/>
        </w:rPr>
        <w:t>具体资格要求详见第八章中的“资格审查文件”。</w:t>
      </w:r>
    </w:p>
    <w:p>
      <w:pPr>
        <w:snapToGrid w:val="0"/>
        <w:spacing w:line="480" w:lineRule="exact"/>
        <w:ind w:firstLine="420" w:firstLineChars="200"/>
        <w:rPr>
          <w:rFonts w:ascii="宋体" w:hAnsi="宋体" w:cs="宋体"/>
          <w:szCs w:val="21"/>
          <w:lang w:val="zh-CN"/>
        </w:rPr>
      </w:pPr>
      <w:r>
        <w:rPr>
          <w:rFonts w:hint="eastAsia" w:ascii="宋体" w:hAnsi="宋体" w:cs="宋体"/>
          <w:szCs w:val="21"/>
          <w:lang w:val="zh-CN"/>
        </w:rPr>
        <w:t>请供应商认真对照资格要求，如不符合要求，无意或故意参与投标的，所产生的一切后果由供应商承担。对提供虚假材料的响应供应商作无效标处理，并报财政部门后将其列入政府采购黑名单。</w:t>
      </w:r>
    </w:p>
    <w:p>
      <w:pPr>
        <w:snapToGrid w:val="0"/>
        <w:spacing w:line="420" w:lineRule="exact"/>
        <w:ind w:firstLine="432" w:firstLineChars="205"/>
        <w:rPr>
          <w:rFonts w:ascii="宋体" w:hAnsi="宋体" w:cs="宋体"/>
          <w:szCs w:val="21"/>
        </w:rPr>
      </w:pPr>
      <w:r>
        <w:rPr>
          <w:rFonts w:hint="eastAsia" w:ascii="宋体" w:hAnsi="宋体" w:cs="宋体"/>
          <w:b/>
          <w:bCs/>
          <w:szCs w:val="21"/>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r>
        <w:rPr>
          <w:rFonts w:hint="eastAsia" w:ascii="宋体" w:hAnsi="宋体" w:cs="宋体"/>
          <w:szCs w:val="21"/>
        </w:rPr>
        <w:t>。</w:t>
      </w:r>
    </w:p>
    <w:p>
      <w:pPr>
        <w:pStyle w:val="6"/>
        <w:spacing w:before="0" w:after="0" w:line="360" w:lineRule="auto"/>
        <w:rPr>
          <w:rFonts w:ascii="宋体" w:hAnsi="宋体" w:eastAsia="宋体" w:cs="宋体"/>
          <w:sz w:val="21"/>
          <w:szCs w:val="21"/>
        </w:rPr>
      </w:pPr>
      <w:bookmarkStart w:id="8" w:name="_Toc35393631"/>
      <w:bookmarkStart w:id="9" w:name="_Toc35393800"/>
      <w:r>
        <w:rPr>
          <w:rFonts w:hint="eastAsia" w:ascii="宋体" w:hAnsi="宋体" w:eastAsia="宋体" w:cs="宋体"/>
          <w:sz w:val="21"/>
          <w:szCs w:val="21"/>
        </w:rPr>
        <w:t>三、获取采购文件</w:t>
      </w:r>
      <w:bookmarkEnd w:id="8"/>
      <w:bookmarkEnd w:id="9"/>
    </w:p>
    <w:p>
      <w:pPr>
        <w:widowControl/>
        <w:snapToGrid w:val="0"/>
        <w:spacing w:line="452" w:lineRule="exact"/>
        <w:ind w:firstLine="420" w:firstLineChars="200"/>
        <w:jc w:val="left"/>
        <w:rPr>
          <w:rFonts w:ascii="宋体" w:hAnsi="宋体" w:cs="宋体"/>
          <w:szCs w:val="21"/>
        </w:rPr>
      </w:pPr>
      <w:r>
        <w:rPr>
          <w:rFonts w:hint="eastAsia" w:ascii="宋体" w:hAnsi="宋体" w:cs="宋体"/>
          <w:szCs w:val="21"/>
        </w:rPr>
        <w:t>1、时间：</w:t>
      </w:r>
      <w:r>
        <w:rPr>
          <w:rFonts w:hint="eastAsia" w:ascii="宋体" w:hAnsi="宋体" w:cs="宋体"/>
          <w:b/>
          <w:bCs/>
          <w:szCs w:val="21"/>
        </w:rPr>
        <w:t>2020年</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19</w:t>
      </w:r>
      <w:r>
        <w:rPr>
          <w:rFonts w:hint="eastAsia" w:ascii="宋体" w:hAnsi="宋体" w:cs="宋体"/>
          <w:b/>
          <w:bCs/>
          <w:szCs w:val="21"/>
        </w:rPr>
        <w:t>日</w:t>
      </w:r>
      <w:r>
        <w:rPr>
          <w:rFonts w:hint="eastAsia" w:ascii="宋体" w:hAnsi="宋体" w:cs="宋体"/>
          <w:szCs w:val="21"/>
        </w:rPr>
        <w:t>至</w:t>
      </w:r>
      <w:r>
        <w:rPr>
          <w:rFonts w:hint="eastAsia" w:ascii="宋体" w:hAnsi="宋体" w:cs="宋体"/>
          <w:b/>
          <w:bCs/>
          <w:szCs w:val="21"/>
        </w:rPr>
        <w:t>2020年</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25</w:t>
      </w:r>
      <w:r>
        <w:rPr>
          <w:rFonts w:hint="eastAsia" w:ascii="宋体" w:hAnsi="宋体" w:cs="宋体"/>
          <w:b/>
          <w:bCs/>
          <w:szCs w:val="21"/>
        </w:rPr>
        <w:t>日</w:t>
      </w:r>
      <w:r>
        <w:rPr>
          <w:rFonts w:hint="eastAsia" w:ascii="宋体" w:hAnsi="宋体" w:cs="宋体"/>
          <w:szCs w:val="21"/>
        </w:rPr>
        <w:t>，每天上午9:30至11:30，下午14:00至17:00（北京时间，法定节假日除外），</w:t>
      </w:r>
      <w:r>
        <w:rPr>
          <w:rFonts w:hint="eastAsia" w:ascii="宋体" w:hAnsi="宋体" w:cs="宋体"/>
          <w:b/>
          <w:bCs/>
          <w:szCs w:val="21"/>
        </w:rPr>
        <w:t>2020年</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25</w:t>
      </w:r>
      <w:r>
        <w:rPr>
          <w:rFonts w:hint="eastAsia" w:ascii="宋体" w:hAnsi="宋体" w:cs="宋体"/>
          <w:b/>
          <w:bCs/>
          <w:szCs w:val="21"/>
        </w:rPr>
        <w:t>日17:00</w:t>
      </w:r>
      <w:r>
        <w:rPr>
          <w:rFonts w:hint="eastAsia" w:ascii="宋体" w:hAnsi="宋体" w:cs="宋体"/>
          <w:szCs w:val="21"/>
        </w:rPr>
        <w:t>后不再发售磋商文件。</w:t>
      </w:r>
    </w:p>
    <w:p>
      <w:pPr>
        <w:widowControl/>
        <w:snapToGrid w:val="0"/>
        <w:spacing w:line="452" w:lineRule="exact"/>
        <w:ind w:firstLine="420" w:firstLineChars="200"/>
        <w:jc w:val="left"/>
        <w:rPr>
          <w:rFonts w:ascii="宋体" w:hAnsi="宋体" w:cs="宋体"/>
          <w:szCs w:val="21"/>
        </w:rPr>
      </w:pPr>
      <w:r>
        <w:rPr>
          <w:rFonts w:hint="eastAsia" w:ascii="宋体" w:hAnsi="宋体" w:cs="宋体"/>
          <w:szCs w:val="21"/>
        </w:rPr>
        <w:t>2、地点：南通市崇川区青年中路153号4号楼213室</w:t>
      </w:r>
    </w:p>
    <w:p>
      <w:pPr>
        <w:widowControl/>
        <w:snapToGrid w:val="0"/>
        <w:spacing w:line="452" w:lineRule="exact"/>
        <w:ind w:firstLine="420" w:firstLineChars="200"/>
        <w:jc w:val="left"/>
        <w:rPr>
          <w:rFonts w:ascii="宋体" w:hAnsi="宋体" w:cs="宋体"/>
          <w:szCs w:val="21"/>
        </w:rPr>
      </w:pPr>
      <w:r>
        <w:rPr>
          <w:rFonts w:hint="eastAsia" w:ascii="宋体" w:hAnsi="宋体" w:cs="宋体"/>
          <w:szCs w:val="21"/>
        </w:rPr>
        <w:t>3、方式：现场报名（或联系代理公司工作人员办理，联系电话17778751998）</w:t>
      </w:r>
    </w:p>
    <w:p>
      <w:pPr>
        <w:widowControl/>
        <w:snapToGrid w:val="0"/>
        <w:spacing w:line="452" w:lineRule="exact"/>
        <w:ind w:firstLine="420" w:firstLineChars="200"/>
        <w:jc w:val="left"/>
        <w:rPr>
          <w:rFonts w:ascii="宋体" w:hAnsi="宋体" w:cs="宋体"/>
          <w:szCs w:val="21"/>
        </w:rPr>
      </w:pPr>
      <w:r>
        <w:rPr>
          <w:rFonts w:hint="eastAsia" w:ascii="宋体" w:hAnsi="宋体" w:cs="宋体"/>
          <w:szCs w:val="21"/>
        </w:rPr>
        <w:t>4、售价：每份300元，售后不退。</w:t>
      </w:r>
    </w:p>
    <w:p>
      <w:pPr>
        <w:widowControl/>
        <w:snapToGrid w:val="0"/>
        <w:spacing w:line="452" w:lineRule="exact"/>
        <w:ind w:firstLine="420" w:firstLineChars="200"/>
        <w:jc w:val="left"/>
        <w:rPr>
          <w:rFonts w:ascii="宋体" w:hAnsi="宋体" w:cs="宋体"/>
          <w:szCs w:val="21"/>
        </w:rPr>
      </w:pPr>
      <w:r>
        <w:rPr>
          <w:rFonts w:hint="eastAsia" w:ascii="宋体" w:hAnsi="宋体" w:cs="宋体"/>
          <w:szCs w:val="21"/>
        </w:rPr>
        <w:t>5、未按要求获取磋商文件的供应商不得参与本项目投标。</w:t>
      </w:r>
    </w:p>
    <w:p>
      <w:pPr>
        <w:widowControl/>
        <w:snapToGrid w:val="0"/>
        <w:spacing w:line="452" w:lineRule="exact"/>
        <w:ind w:firstLine="420" w:firstLineChars="200"/>
        <w:jc w:val="left"/>
        <w:rPr>
          <w:rFonts w:ascii="宋体" w:hAnsi="宋体" w:cs="宋体"/>
          <w:szCs w:val="21"/>
        </w:rPr>
      </w:pPr>
      <w:r>
        <w:rPr>
          <w:rFonts w:hint="eastAsia" w:ascii="宋体" w:hAnsi="宋体" w:cs="宋体"/>
          <w:szCs w:val="21"/>
        </w:rPr>
        <w:t>6、有关本次招标的事项若存在变动或修改，敬请及时关注“江苏省南通市人民检察院官网”发布的信息更正公告，恕不另行通知，如有遗漏招标采购单位概不负责。</w:t>
      </w:r>
    </w:p>
    <w:p>
      <w:pPr>
        <w:widowControl/>
        <w:spacing w:line="360" w:lineRule="auto"/>
        <w:ind w:left="1" w:firstLine="420" w:firstLineChars="200"/>
        <w:jc w:val="left"/>
        <w:rPr>
          <w:rFonts w:ascii="宋体" w:hAnsi="宋体" w:cs="宋体"/>
          <w:szCs w:val="21"/>
        </w:rPr>
      </w:pPr>
    </w:p>
    <w:p>
      <w:pPr>
        <w:pStyle w:val="6"/>
        <w:spacing w:before="0" w:after="0" w:line="360" w:lineRule="auto"/>
        <w:rPr>
          <w:rFonts w:ascii="宋体" w:hAnsi="宋体" w:eastAsia="宋体" w:cs="宋体"/>
          <w:sz w:val="21"/>
          <w:szCs w:val="21"/>
        </w:rPr>
      </w:pPr>
      <w:bookmarkStart w:id="10" w:name="_Toc28359092"/>
      <w:bookmarkStart w:id="11" w:name="_Toc35393632"/>
      <w:bookmarkStart w:id="12" w:name="_Toc28359015"/>
      <w:bookmarkStart w:id="13" w:name="_Toc35393801"/>
      <w:r>
        <w:rPr>
          <w:rFonts w:hint="eastAsia" w:ascii="宋体" w:hAnsi="宋体" w:eastAsia="宋体" w:cs="宋体"/>
          <w:sz w:val="21"/>
          <w:szCs w:val="21"/>
        </w:rPr>
        <w:t>四、响应文件提交</w:t>
      </w:r>
      <w:bookmarkEnd w:id="10"/>
      <w:bookmarkEnd w:id="11"/>
      <w:bookmarkEnd w:id="12"/>
      <w:bookmarkEnd w:id="13"/>
    </w:p>
    <w:p>
      <w:pPr>
        <w:widowControl/>
        <w:spacing w:line="360" w:lineRule="auto"/>
        <w:ind w:left="1" w:firstLine="420" w:firstLineChars="200"/>
        <w:jc w:val="left"/>
        <w:rPr>
          <w:rFonts w:ascii="宋体" w:hAnsi="宋体" w:cs="宋体"/>
          <w:szCs w:val="21"/>
        </w:rPr>
      </w:pPr>
      <w:r>
        <w:rPr>
          <w:rFonts w:hint="eastAsia" w:ascii="宋体" w:hAnsi="宋体" w:cs="宋体"/>
          <w:szCs w:val="21"/>
        </w:rPr>
        <w:t>1、响应文件接收截止及评审磋商开始时间：</w:t>
      </w:r>
      <w:r>
        <w:rPr>
          <w:rFonts w:hint="eastAsia" w:ascii="宋体" w:hAnsi="宋体" w:cs="宋体"/>
          <w:b/>
          <w:bCs/>
          <w:szCs w:val="21"/>
        </w:rPr>
        <w:t>2020年11月</w:t>
      </w:r>
      <w:r>
        <w:rPr>
          <w:rFonts w:hint="eastAsia" w:ascii="宋体" w:hAnsi="宋体" w:cs="宋体"/>
          <w:b/>
          <w:bCs/>
          <w:szCs w:val="21"/>
          <w:lang w:val="en-US" w:eastAsia="zh-CN"/>
        </w:rPr>
        <w:t>30</w:t>
      </w:r>
      <w:r>
        <w:rPr>
          <w:rFonts w:hint="eastAsia" w:ascii="宋体" w:hAnsi="宋体" w:cs="宋体"/>
          <w:b/>
          <w:bCs/>
          <w:szCs w:val="21"/>
        </w:rPr>
        <w:t>日09时30分</w:t>
      </w:r>
      <w:r>
        <w:rPr>
          <w:rFonts w:hint="eastAsia" w:ascii="宋体" w:hAnsi="宋体" w:cs="宋体"/>
          <w:szCs w:val="21"/>
        </w:rPr>
        <w:t>（北京时间）。</w:t>
      </w:r>
    </w:p>
    <w:p>
      <w:pPr>
        <w:widowControl/>
        <w:spacing w:line="360" w:lineRule="auto"/>
        <w:ind w:left="1" w:firstLine="420" w:firstLineChars="200"/>
        <w:jc w:val="left"/>
        <w:rPr>
          <w:rFonts w:ascii="宋体" w:hAnsi="宋体" w:cs="宋体"/>
          <w:szCs w:val="21"/>
        </w:rPr>
      </w:pPr>
      <w:r>
        <w:rPr>
          <w:rFonts w:hint="eastAsia" w:ascii="宋体" w:hAnsi="宋体" w:cs="宋体"/>
          <w:szCs w:val="21"/>
        </w:rPr>
        <w:t>2、响应文件递交地址：南通市濠南路251号江苏省南通市人民检察院主楼</w:t>
      </w:r>
      <w:r>
        <w:rPr>
          <w:rFonts w:hint="eastAsia" w:ascii="宋体" w:hAnsi="宋体" w:cs="宋体"/>
          <w:szCs w:val="21"/>
          <w:lang w:val="en-US" w:eastAsia="zh-CN"/>
        </w:rPr>
        <w:t>二</w:t>
      </w:r>
      <w:r>
        <w:rPr>
          <w:rFonts w:hint="eastAsia" w:ascii="宋体" w:hAnsi="宋体" w:cs="宋体"/>
          <w:szCs w:val="21"/>
        </w:rPr>
        <w:t>楼会议室，如有变动另行通知，请各投标人提前做好准备。</w:t>
      </w:r>
    </w:p>
    <w:p>
      <w:pPr>
        <w:widowControl/>
        <w:spacing w:line="360" w:lineRule="auto"/>
        <w:jc w:val="left"/>
        <w:rPr>
          <w:rFonts w:ascii="宋体" w:hAnsi="宋体" w:cs="宋体"/>
          <w:b/>
          <w:bCs/>
          <w:szCs w:val="21"/>
        </w:rPr>
      </w:pPr>
      <w:r>
        <w:rPr>
          <w:rFonts w:hint="eastAsia" w:ascii="宋体" w:hAnsi="宋体" w:cs="宋体"/>
          <w:b/>
          <w:bCs/>
          <w:szCs w:val="21"/>
        </w:rPr>
        <w:t>五、开启</w:t>
      </w:r>
    </w:p>
    <w:p>
      <w:pPr>
        <w:widowControl/>
        <w:spacing w:line="360" w:lineRule="auto"/>
        <w:ind w:left="1" w:firstLine="420" w:firstLineChars="200"/>
        <w:jc w:val="left"/>
        <w:rPr>
          <w:rFonts w:ascii="宋体" w:hAnsi="宋体" w:cs="宋体"/>
          <w:szCs w:val="21"/>
        </w:rPr>
      </w:pPr>
      <w:r>
        <w:rPr>
          <w:rFonts w:hint="eastAsia" w:ascii="宋体" w:hAnsi="宋体" w:cs="宋体"/>
          <w:szCs w:val="21"/>
        </w:rPr>
        <w:t>1、响应文件开启时间：</w:t>
      </w:r>
      <w:r>
        <w:rPr>
          <w:rFonts w:hint="eastAsia" w:ascii="宋体" w:hAnsi="宋体" w:cs="宋体"/>
          <w:b/>
          <w:bCs/>
          <w:szCs w:val="21"/>
        </w:rPr>
        <w:t>2020年11月</w:t>
      </w:r>
      <w:r>
        <w:rPr>
          <w:rFonts w:hint="eastAsia" w:ascii="宋体" w:hAnsi="宋体" w:cs="宋体"/>
          <w:b/>
          <w:bCs/>
          <w:szCs w:val="21"/>
          <w:lang w:val="en-US" w:eastAsia="zh-CN"/>
        </w:rPr>
        <w:t>30</w:t>
      </w:r>
      <w:r>
        <w:rPr>
          <w:rFonts w:hint="eastAsia" w:ascii="宋体" w:hAnsi="宋体" w:cs="宋体"/>
          <w:b/>
          <w:bCs/>
          <w:szCs w:val="21"/>
        </w:rPr>
        <w:t>日09时30分</w:t>
      </w:r>
      <w:r>
        <w:rPr>
          <w:rFonts w:hint="eastAsia" w:ascii="宋体" w:hAnsi="宋体" w:cs="宋体"/>
          <w:szCs w:val="21"/>
        </w:rPr>
        <w:t>（北京时间）。</w:t>
      </w:r>
    </w:p>
    <w:p>
      <w:pPr>
        <w:widowControl/>
        <w:spacing w:line="360" w:lineRule="auto"/>
        <w:ind w:left="1" w:firstLine="420" w:firstLineChars="200"/>
        <w:jc w:val="left"/>
        <w:rPr>
          <w:rFonts w:ascii="宋体" w:hAnsi="宋体" w:cs="宋体"/>
          <w:szCs w:val="21"/>
        </w:rPr>
      </w:pPr>
      <w:r>
        <w:rPr>
          <w:rFonts w:hint="eastAsia" w:ascii="宋体" w:hAnsi="宋体" w:cs="宋体"/>
          <w:szCs w:val="21"/>
        </w:rPr>
        <w:t>2、地点：南通市濠南路251号江苏省南通市人民检察院主楼</w:t>
      </w:r>
      <w:r>
        <w:rPr>
          <w:rFonts w:hint="eastAsia" w:ascii="宋体" w:hAnsi="宋体" w:cs="宋体"/>
          <w:szCs w:val="21"/>
          <w:lang w:val="en-US" w:eastAsia="zh-CN"/>
        </w:rPr>
        <w:t>二</w:t>
      </w:r>
      <w:r>
        <w:rPr>
          <w:rFonts w:hint="eastAsia" w:ascii="宋体" w:hAnsi="宋体" w:cs="宋体"/>
          <w:szCs w:val="21"/>
        </w:rPr>
        <w:t>楼会议室。</w:t>
      </w:r>
    </w:p>
    <w:p>
      <w:pPr>
        <w:widowControl/>
        <w:spacing w:line="360" w:lineRule="auto"/>
        <w:jc w:val="left"/>
        <w:rPr>
          <w:rFonts w:ascii="宋体" w:hAnsi="宋体" w:cs="宋体"/>
          <w:b/>
          <w:bCs/>
          <w:szCs w:val="21"/>
        </w:rPr>
      </w:pPr>
      <w:r>
        <w:rPr>
          <w:rFonts w:hint="eastAsia" w:ascii="宋体" w:hAnsi="宋体" w:cs="宋体"/>
          <w:b/>
          <w:bCs/>
          <w:szCs w:val="21"/>
        </w:rPr>
        <w:t>六、公告期限：自本公告发布之日起3个工作日。</w:t>
      </w:r>
    </w:p>
    <w:p>
      <w:pPr>
        <w:widowControl/>
        <w:spacing w:line="360" w:lineRule="auto"/>
        <w:jc w:val="left"/>
        <w:rPr>
          <w:rFonts w:ascii="宋体" w:hAnsi="宋体" w:cs="宋体"/>
          <w:b/>
          <w:bCs/>
          <w:szCs w:val="21"/>
        </w:rPr>
      </w:pPr>
      <w:r>
        <w:rPr>
          <w:rFonts w:hint="eastAsia" w:ascii="宋体" w:hAnsi="宋体" w:cs="宋体"/>
          <w:b/>
          <w:bCs/>
          <w:szCs w:val="21"/>
        </w:rPr>
        <w:t>七、磋商保证金</w:t>
      </w:r>
    </w:p>
    <w:p>
      <w:pPr>
        <w:spacing w:line="360" w:lineRule="auto"/>
        <w:ind w:firstLine="420" w:firstLineChars="200"/>
        <w:rPr>
          <w:rFonts w:ascii="宋体" w:hAnsi="宋体" w:cs="宋体"/>
          <w:szCs w:val="21"/>
        </w:rPr>
      </w:pPr>
      <w:r>
        <w:rPr>
          <w:rFonts w:hint="eastAsia" w:ascii="宋体" w:hAnsi="宋体" w:cs="宋体"/>
          <w:szCs w:val="21"/>
        </w:rPr>
        <w:t>供应商需缴纳磋商保证金</w:t>
      </w:r>
      <w:r>
        <w:rPr>
          <w:rFonts w:hint="eastAsia" w:ascii="宋体" w:hAnsi="宋体" w:cs="宋体"/>
          <w:szCs w:val="21"/>
          <w:u w:val="single"/>
        </w:rPr>
        <w:t>贰仟肆佰元整</w:t>
      </w:r>
      <w:r>
        <w:rPr>
          <w:rFonts w:hint="eastAsia" w:ascii="宋体" w:hAnsi="宋体" w:cs="宋体"/>
          <w:szCs w:val="21"/>
        </w:rPr>
        <w:t>（</w:t>
      </w:r>
      <w:r>
        <w:rPr>
          <w:rFonts w:hint="eastAsia" w:ascii="宋体" w:hAnsi="宋体" w:cs="宋体"/>
          <w:szCs w:val="21"/>
          <w:u w:val="single"/>
        </w:rPr>
        <w:t>2400</w:t>
      </w:r>
      <w:r>
        <w:rPr>
          <w:rFonts w:hint="eastAsia" w:ascii="宋体" w:hAnsi="宋体" w:cs="宋体"/>
          <w:szCs w:val="21"/>
        </w:rPr>
        <w:t>元）。磋商保证金一律采用</w:t>
      </w:r>
      <w:r>
        <w:rPr>
          <w:rFonts w:hint="eastAsia" w:ascii="宋体" w:hAnsi="宋体" w:cs="宋体"/>
          <w:b/>
          <w:szCs w:val="21"/>
          <w:u w:val="single"/>
        </w:rPr>
        <w:t>银行汇票、现金支票或转账支票</w:t>
      </w:r>
      <w:r>
        <w:rPr>
          <w:rFonts w:hint="eastAsia" w:ascii="宋体" w:hAnsi="宋体" w:cs="宋体"/>
          <w:szCs w:val="21"/>
        </w:rPr>
        <w:t>形式递交，拒绝其他方式递交，并在汇票或支票上注明“</w:t>
      </w:r>
      <w:r>
        <w:rPr>
          <w:rFonts w:hint="eastAsia" w:ascii="宋体" w:hAnsi="宋体" w:cs="宋体"/>
          <w:b/>
          <w:bCs/>
          <w:szCs w:val="21"/>
          <w:u w:val="single"/>
        </w:rPr>
        <w:t>检察院磋商保证金</w:t>
      </w:r>
      <w:r>
        <w:rPr>
          <w:rFonts w:hint="eastAsia" w:ascii="宋体" w:hAnsi="宋体" w:cs="宋体"/>
          <w:szCs w:val="21"/>
        </w:rPr>
        <w:t>”。</w:t>
      </w:r>
      <w:r>
        <w:rPr>
          <w:rFonts w:hint="eastAsia" w:ascii="宋体" w:hAnsi="宋体" w:cs="宋体"/>
          <w:bCs/>
          <w:szCs w:val="21"/>
        </w:rPr>
        <w:t>银行汇票、现金支票或转账支票</w:t>
      </w:r>
      <w:r>
        <w:rPr>
          <w:rFonts w:hint="eastAsia" w:ascii="宋体" w:hAnsi="宋体" w:cs="宋体"/>
          <w:szCs w:val="21"/>
        </w:rPr>
        <w:t xml:space="preserve">带至开标现场在递交磋商响应文件时交给采购单位。 </w:t>
      </w:r>
    </w:p>
    <w:p>
      <w:pPr>
        <w:spacing w:line="360" w:lineRule="auto"/>
        <w:ind w:firstLine="422" w:firstLineChars="200"/>
        <w:rPr>
          <w:rFonts w:ascii="宋体" w:hAnsi="宋体" w:cs="宋体"/>
          <w:b/>
          <w:bCs/>
          <w:szCs w:val="21"/>
        </w:rPr>
      </w:pPr>
      <w:r>
        <w:rPr>
          <w:rFonts w:hint="eastAsia" w:ascii="宋体" w:hAnsi="宋体" w:cs="宋体"/>
          <w:b/>
          <w:bCs/>
          <w:szCs w:val="21"/>
        </w:rPr>
        <w:t>保证金上必须注明收款人为：</w:t>
      </w:r>
      <w:r>
        <w:rPr>
          <w:rStyle w:val="23"/>
          <w:rFonts w:hint="eastAsia" w:ascii="宋体" w:hAnsi="宋体" w:cs="宋体"/>
          <w:szCs w:val="21"/>
        </w:rPr>
        <w:t>南通市财政局</w:t>
      </w:r>
      <w:r>
        <w:rPr>
          <w:rFonts w:hint="eastAsia" w:ascii="宋体" w:hAnsi="宋体" w:cs="宋体"/>
          <w:b/>
          <w:bCs/>
          <w:szCs w:val="21"/>
        </w:rPr>
        <w:t>，用途为：</w:t>
      </w:r>
      <w:r>
        <w:rPr>
          <w:rFonts w:hint="eastAsia" w:ascii="宋体" w:hAnsi="宋体" w:cs="宋体"/>
          <w:b/>
          <w:bCs/>
          <w:szCs w:val="21"/>
          <w:u w:val="single"/>
        </w:rPr>
        <w:t>检察院磋商保证金</w:t>
      </w:r>
      <w:r>
        <w:rPr>
          <w:rFonts w:hint="eastAsia" w:ascii="宋体" w:hAnsi="宋体" w:cs="宋体"/>
          <w:b/>
          <w:bCs/>
          <w:szCs w:val="21"/>
        </w:rPr>
        <w:t>；汇款人为：</w:t>
      </w:r>
      <w:r>
        <w:rPr>
          <w:rFonts w:hint="eastAsia" w:ascii="宋体" w:hAnsi="宋体" w:cs="宋体"/>
          <w:b/>
          <w:bCs/>
          <w:szCs w:val="21"/>
          <w:u w:val="single"/>
        </w:rPr>
        <w:t>供应商名称</w:t>
      </w:r>
      <w:r>
        <w:rPr>
          <w:rFonts w:hint="eastAsia" w:ascii="宋体" w:hAnsi="宋体" w:cs="宋体"/>
          <w:b/>
          <w:bCs/>
          <w:szCs w:val="21"/>
        </w:rPr>
        <w:t>。</w:t>
      </w:r>
    </w:p>
    <w:p>
      <w:pPr>
        <w:widowControl/>
        <w:spacing w:line="360" w:lineRule="auto"/>
        <w:ind w:firstLine="420" w:firstLineChars="200"/>
        <w:jc w:val="left"/>
        <w:rPr>
          <w:rFonts w:ascii="宋体" w:hAnsi="宋体" w:cs="宋体"/>
          <w:kern w:val="0"/>
          <w:szCs w:val="21"/>
        </w:rPr>
      </w:pPr>
      <w:r>
        <w:rPr>
          <w:rFonts w:hint="eastAsia" w:ascii="宋体" w:hAnsi="宋体" w:cs="宋体"/>
          <w:bCs/>
          <w:szCs w:val="21"/>
        </w:rPr>
        <w:t xml:space="preserve">账  户： </w:t>
      </w:r>
      <w:r>
        <w:rPr>
          <w:rFonts w:hint="eastAsia" w:ascii="宋体" w:hAnsi="宋体" w:cs="宋体"/>
          <w:kern w:val="0"/>
          <w:szCs w:val="21"/>
        </w:rPr>
        <w:t>南通市财政局</w:t>
      </w:r>
    </w:p>
    <w:p>
      <w:pPr>
        <w:widowControl/>
        <w:spacing w:line="360" w:lineRule="auto"/>
        <w:ind w:firstLine="420" w:firstLineChars="200"/>
        <w:jc w:val="left"/>
        <w:rPr>
          <w:rFonts w:ascii="宋体" w:hAnsi="宋体" w:cs="宋体"/>
          <w:bCs/>
          <w:szCs w:val="21"/>
        </w:rPr>
      </w:pPr>
      <w:r>
        <w:rPr>
          <w:rFonts w:hint="eastAsia" w:ascii="宋体" w:hAnsi="宋体" w:cs="宋体"/>
          <w:bCs/>
          <w:szCs w:val="21"/>
        </w:rPr>
        <w:t xml:space="preserve">开户行： </w:t>
      </w:r>
      <w:r>
        <w:rPr>
          <w:rFonts w:hint="eastAsia" w:ascii="宋体" w:hAnsi="宋体" w:cs="宋体"/>
          <w:kern w:val="0"/>
          <w:szCs w:val="21"/>
        </w:rPr>
        <w:t>中行西被闸支行</w:t>
      </w:r>
    </w:p>
    <w:p>
      <w:pPr>
        <w:spacing w:line="360" w:lineRule="auto"/>
        <w:ind w:left="479" w:leftChars="228"/>
        <w:rPr>
          <w:rFonts w:ascii="宋体" w:hAnsi="宋体" w:cs="宋体"/>
          <w:kern w:val="0"/>
          <w:szCs w:val="21"/>
        </w:rPr>
      </w:pPr>
      <w:r>
        <w:rPr>
          <w:rFonts w:hint="eastAsia" w:ascii="宋体" w:hAnsi="宋体" w:cs="宋体"/>
          <w:bCs/>
          <w:szCs w:val="21"/>
        </w:rPr>
        <w:t xml:space="preserve">开户账号: </w:t>
      </w:r>
      <w:r>
        <w:rPr>
          <w:rFonts w:hint="eastAsia" w:ascii="宋体" w:hAnsi="宋体" w:cs="宋体"/>
          <w:kern w:val="0"/>
          <w:szCs w:val="21"/>
        </w:rPr>
        <w:t>471558227682</w:t>
      </w:r>
    </w:p>
    <w:p>
      <w:pPr>
        <w:spacing w:line="360" w:lineRule="auto"/>
        <w:ind w:firstLine="422" w:firstLineChars="200"/>
        <w:rPr>
          <w:rFonts w:ascii="宋体" w:hAnsi="宋体" w:cs="宋体"/>
          <w:szCs w:val="21"/>
        </w:rPr>
      </w:pPr>
      <w:r>
        <w:rPr>
          <w:rFonts w:hint="eastAsia" w:ascii="宋体" w:hAnsi="宋体" w:cs="宋体"/>
          <w:b/>
          <w:bCs/>
          <w:szCs w:val="21"/>
        </w:rPr>
        <w:t>磋商保证金不得密封在磋商响应文件内，未按上述要求提交磋商保证金的供应商，采购单位有权拒绝其磋商响应文件。</w:t>
      </w:r>
    </w:p>
    <w:p>
      <w:pPr>
        <w:widowControl/>
        <w:numPr>
          <w:ilvl w:val="0"/>
          <w:numId w:val="2"/>
        </w:numPr>
        <w:spacing w:line="360" w:lineRule="auto"/>
        <w:jc w:val="left"/>
        <w:rPr>
          <w:rFonts w:hint="eastAsia" w:ascii="宋体" w:hAnsi="宋体" w:cs="宋体"/>
          <w:b/>
          <w:bCs/>
          <w:szCs w:val="21"/>
          <w:lang w:val="en-US" w:eastAsia="zh-CN"/>
        </w:rPr>
      </w:pPr>
      <w:r>
        <w:rPr>
          <w:rFonts w:hint="eastAsia" w:ascii="宋体" w:hAnsi="宋体" w:cs="宋体"/>
          <w:b/>
          <w:bCs/>
          <w:szCs w:val="21"/>
          <w:lang w:val="en-US" w:eastAsia="zh-CN"/>
        </w:rPr>
        <w:t>样品要求</w:t>
      </w:r>
    </w:p>
    <w:p>
      <w:pPr>
        <w:widowControl/>
        <w:spacing w:line="360" w:lineRule="auto"/>
        <w:ind w:left="1" w:firstLine="420" w:firstLineChars="200"/>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样品接收截止时间：</w:t>
      </w:r>
      <w:r>
        <w:rPr>
          <w:rFonts w:hint="eastAsia" w:ascii="宋体" w:hAnsi="宋体" w:cs="宋体"/>
          <w:b/>
          <w:bCs/>
          <w:szCs w:val="21"/>
        </w:rPr>
        <w:t>2020年11月</w:t>
      </w:r>
      <w:r>
        <w:rPr>
          <w:rFonts w:hint="eastAsia" w:ascii="宋体" w:hAnsi="宋体" w:cs="宋体"/>
          <w:b/>
          <w:bCs/>
          <w:szCs w:val="21"/>
          <w:lang w:val="en-US" w:eastAsia="zh-CN"/>
        </w:rPr>
        <w:t>30</w:t>
      </w:r>
      <w:r>
        <w:rPr>
          <w:rFonts w:hint="eastAsia" w:ascii="宋体" w:hAnsi="宋体" w:cs="宋体"/>
          <w:b/>
          <w:bCs/>
          <w:szCs w:val="21"/>
        </w:rPr>
        <w:t>日09时30分</w:t>
      </w:r>
      <w:r>
        <w:rPr>
          <w:rFonts w:hint="eastAsia" w:ascii="宋体" w:hAnsi="宋体" w:cs="宋体"/>
          <w:szCs w:val="21"/>
        </w:rPr>
        <w:t>（北京时间）</w:t>
      </w:r>
    </w:p>
    <w:p>
      <w:pPr>
        <w:widowControl/>
        <w:spacing w:line="360" w:lineRule="auto"/>
        <w:ind w:left="1" w:firstLine="420" w:firstLineChars="20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样品接收地点：南通市濠南路251号江苏省南通市人民检察院主楼</w:t>
      </w:r>
      <w:r>
        <w:rPr>
          <w:rFonts w:hint="eastAsia" w:ascii="宋体" w:hAnsi="宋体" w:cs="宋体"/>
          <w:szCs w:val="21"/>
          <w:lang w:val="en-US" w:eastAsia="zh-CN"/>
        </w:rPr>
        <w:t>一</w:t>
      </w:r>
      <w:r>
        <w:rPr>
          <w:rFonts w:hint="eastAsia" w:ascii="宋体" w:hAnsi="宋体" w:cs="宋体"/>
          <w:szCs w:val="21"/>
        </w:rPr>
        <w:t>楼</w:t>
      </w:r>
      <w:r>
        <w:rPr>
          <w:rFonts w:hint="eastAsia" w:ascii="宋体" w:hAnsi="宋体" w:cs="宋体"/>
          <w:szCs w:val="21"/>
          <w:lang w:val="en-US" w:eastAsia="zh-CN"/>
        </w:rPr>
        <w:t>大厅</w:t>
      </w:r>
      <w:r>
        <w:rPr>
          <w:rFonts w:hint="eastAsia" w:ascii="宋体" w:hAnsi="宋体" w:cs="宋体"/>
          <w:szCs w:val="21"/>
        </w:rPr>
        <w:t>。</w:t>
      </w:r>
    </w:p>
    <w:p>
      <w:pPr>
        <w:spacing w:line="420" w:lineRule="exact"/>
        <w:ind w:firstLine="422" w:firstLineChars="200"/>
        <w:rPr>
          <w:rFonts w:hint="eastAsia" w:ascii="Times New Roman" w:hAnsi="Times New Roman" w:cs="宋体"/>
          <w:b/>
          <w:bCs/>
          <w:szCs w:val="21"/>
          <w:lang w:val="en-US" w:eastAsia="zh-CN"/>
        </w:rPr>
      </w:pPr>
      <w:r>
        <w:rPr>
          <w:rFonts w:hint="eastAsia" w:ascii="Times New Roman" w:hAnsi="Times New Roman" w:cs="宋体"/>
          <w:b/>
          <w:bCs/>
          <w:szCs w:val="21"/>
          <w:lang w:val="en-US" w:eastAsia="zh-CN"/>
        </w:rPr>
        <w:t>3、样品清单：供应商须提供符合下表要求的提审桌一张，提审椅一把。</w:t>
      </w:r>
    </w:p>
    <w:p>
      <w:pPr>
        <w:pStyle w:val="27"/>
        <w:ind w:left="0" w:leftChars="0" w:firstLine="0" w:firstLineChars="0"/>
        <w:rPr>
          <w:rFonts w:hint="default"/>
          <w:lang w:val="en-US" w:eastAsia="zh-CN"/>
        </w:rPr>
      </w:pPr>
    </w:p>
    <w:tbl>
      <w:tblPr>
        <w:tblStyle w:val="20"/>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4"/>
        <w:gridCol w:w="622"/>
        <w:gridCol w:w="2486"/>
        <w:gridCol w:w="4202"/>
        <w:gridCol w:w="436"/>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404" w:type="dxa"/>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b/>
                <w:color w:val="000000"/>
                <w:kern w:val="0"/>
                <w:sz w:val="18"/>
                <w:szCs w:val="18"/>
                <w:lang w:bidi="ar"/>
              </w:rPr>
              <w:t>序号</w:t>
            </w:r>
          </w:p>
        </w:tc>
        <w:tc>
          <w:tcPr>
            <w:tcW w:w="622"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val="en-US" w:eastAsia="zh-CN" w:bidi="ar"/>
              </w:rPr>
            </w:pPr>
            <w:r>
              <w:rPr>
                <w:rFonts w:hint="eastAsia" w:ascii="宋体" w:hAnsi="宋体" w:cs="宋体"/>
                <w:b/>
                <w:color w:val="000000"/>
                <w:kern w:val="0"/>
                <w:sz w:val="18"/>
                <w:szCs w:val="18"/>
                <w:lang w:bidi="ar"/>
              </w:rPr>
              <w:t>品名</w:t>
            </w:r>
          </w:p>
        </w:tc>
        <w:tc>
          <w:tcPr>
            <w:tcW w:w="2486"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bdr w:val="single" w:color="000000" w:sz="4" w:space="0"/>
              </w:rPr>
            </w:pPr>
            <w:r>
              <w:rPr>
                <w:rFonts w:hint="eastAsia" w:ascii="宋体" w:hAnsi="宋体" w:cs="宋体"/>
                <w:b/>
                <w:color w:val="000000"/>
                <w:kern w:val="0"/>
                <w:sz w:val="18"/>
                <w:szCs w:val="18"/>
                <w:lang w:bidi="ar"/>
              </w:rPr>
              <w:t>图片</w:t>
            </w:r>
          </w:p>
        </w:tc>
        <w:tc>
          <w:tcPr>
            <w:tcW w:w="4202"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b/>
                <w:color w:val="000000"/>
                <w:kern w:val="0"/>
                <w:sz w:val="18"/>
                <w:szCs w:val="18"/>
                <w:lang w:bidi="ar"/>
              </w:rPr>
              <w:t>材质</w:t>
            </w:r>
          </w:p>
        </w:tc>
        <w:tc>
          <w:tcPr>
            <w:tcW w:w="436"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b/>
                <w:color w:val="000000"/>
                <w:kern w:val="0"/>
                <w:sz w:val="18"/>
                <w:szCs w:val="18"/>
                <w:lang w:bidi="ar"/>
              </w:rPr>
              <w:t>颜色</w:t>
            </w:r>
          </w:p>
        </w:tc>
        <w:tc>
          <w:tcPr>
            <w:tcW w:w="811" w:type="dxa"/>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b/>
                <w:color w:val="000000"/>
                <w:kern w:val="0"/>
                <w:sz w:val="18"/>
                <w:szCs w:val="18"/>
                <w:lang w:bidi="ar"/>
              </w:rPr>
              <w:t>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5" w:hRule="atLeast"/>
          <w:jc w:val="center"/>
        </w:trPr>
        <w:tc>
          <w:tcPr>
            <w:tcW w:w="404" w:type="dxa"/>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62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提审</w:t>
            </w:r>
            <w:r>
              <w:rPr>
                <w:rFonts w:hint="eastAsia" w:ascii="宋体" w:hAnsi="宋体" w:cs="宋体"/>
                <w:color w:val="000000"/>
                <w:kern w:val="0"/>
                <w:sz w:val="18"/>
                <w:szCs w:val="18"/>
                <w:lang w:bidi="ar"/>
              </w:rPr>
              <w:t>桌（提供样品）</w:t>
            </w:r>
          </w:p>
        </w:tc>
        <w:tc>
          <w:tcPr>
            <w:tcW w:w="24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81792" behindDoc="0" locked="0" layoutInCell="1" allowOverlap="1">
                  <wp:simplePos x="0" y="0"/>
                  <wp:positionH relativeFrom="column">
                    <wp:posOffset>66040</wp:posOffset>
                  </wp:positionH>
                  <wp:positionV relativeFrom="paragraph">
                    <wp:posOffset>523240</wp:posOffset>
                  </wp:positionV>
                  <wp:extent cx="1466215" cy="907415"/>
                  <wp:effectExtent l="0" t="0" r="635" b="6985"/>
                  <wp:wrapNone/>
                  <wp:docPr id="2" name="图片_3_SpCnt_1"/>
                  <wp:cNvGraphicFramePr/>
                  <a:graphic xmlns:a="http://schemas.openxmlformats.org/drawingml/2006/main">
                    <a:graphicData uri="http://schemas.openxmlformats.org/drawingml/2006/picture">
                      <pic:pic xmlns:pic="http://schemas.openxmlformats.org/drawingml/2006/picture">
                        <pic:nvPicPr>
                          <pic:cNvPr id="2" name="图片_3_SpCnt_1"/>
                          <pic:cNvPicPr/>
                        </pic:nvPicPr>
                        <pic:blipFill>
                          <a:blip r:embed="rId6"/>
                          <a:stretch>
                            <a:fillRect/>
                          </a:stretch>
                        </pic:blipFill>
                        <pic:spPr>
                          <a:xfrm>
                            <a:off x="0" y="0"/>
                            <a:ext cx="1466215" cy="907415"/>
                          </a:xfrm>
                          <a:prstGeom prst="rect">
                            <a:avLst/>
                          </a:prstGeom>
                          <a:noFill/>
                          <a:ln>
                            <a:noFill/>
                          </a:ln>
                        </pic:spPr>
                      </pic:pic>
                    </a:graphicData>
                  </a:graphic>
                </wp:anchor>
              </w:drawing>
            </w:r>
          </w:p>
        </w:tc>
        <w:tc>
          <w:tcPr>
            <w:tcW w:w="4202"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4、油漆：面漆采用“大宝”PU聚脂漆,底漆采用PE不饱和树脂漆，符合欧洲环保要求。</w:t>
            </w:r>
          </w:p>
        </w:tc>
        <w:tc>
          <w:tcPr>
            <w:tcW w:w="43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新胡桃色</w:t>
            </w:r>
          </w:p>
        </w:tc>
        <w:tc>
          <w:tcPr>
            <w:tcW w:w="81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3000*900（850）*900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0" w:hRule="atLeast"/>
          <w:jc w:val="center"/>
        </w:trPr>
        <w:tc>
          <w:tcPr>
            <w:tcW w:w="404" w:type="dxa"/>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62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提审椅</w:t>
            </w:r>
            <w:r>
              <w:rPr>
                <w:rFonts w:hint="eastAsia" w:ascii="宋体" w:hAnsi="宋体" w:cs="宋体"/>
                <w:color w:val="000000"/>
                <w:kern w:val="0"/>
                <w:sz w:val="18"/>
                <w:szCs w:val="18"/>
                <w:lang w:bidi="ar"/>
              </w:rPr>
              <w:t>（提供样品）</w:t>
            </w:r>
          </w:p>
        </w:tc>
        <w:tc>
          <w:tcPr>
            <w:tcW w:w="2486" w:type="dxa"/>
            <w:shd w:val="clear" w:color="auto" w:fill="auto"/>
            <w:noWrap/>
            <w:tcMar>
              <w:top w:w="15" w:type="dxa"/>
              <w:left w:w="15" w:type="dxa"/>
              <w:right w:w="15" w:type="dxa"/>
            </w:tcMar>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82816" behindDoc="0" locked="0" layoutInCell="1" allowOverlap="1">
                  <wp:simplePos x="0" y="0"/>
                  <wp:positionH relativeFrom="column">
                    <wp:posOffset>556895</wp:posOffset>
                  </wp:positionH>
                  <wp:positionV relativeFrom="paragraph">
                    <wp:posOffset>1085850</wp:posOffset>
                  </wp:positionV>
                  <wp:extent cx="608330" cy="1136015"/>
                  <wp:effectExtent l="0" t="0" r="1270" b="6985"/>
                  <wp:wrapNone/>
                  <wp:docPr id="4" name="图片_5"/>
                  <wp:cNvGraphicFramePr/>
                  <a:graphic xmlns:a="http://schemas.openxmlformats.org/drawingml/2006/main">
                    <a:graphicData uri="http://schemas.openxmlformats.org/drawingml/2006/picture">
                      <pic:pic xmlns:pic="http://schemas.openxmlformats.org/drawingml/2006/picture">
                        <pic:nvPicPr>
                          <pic:cNvPr id="4" name="图片_5"/>
                          <pic:cNvPicPr/>
                        </pic:nvPicPr>
                        <pic:blipFill>
                          <a:blip r:embed="rId7"/>
                          <a:stretch>
                            <a:fillRect/>
                          </a:stretch>
                        </pic:blipFill>
                        <pic:spPr>
                          <a:xfrm>
                            <a:off x="0" y="0"/>
                            <a:ext cx="608330" cy="1136015"/>
                          </a:xfrm>
                          <a:prstGeom prst="rect">
                            <a:avLst/>
                          </a:prstGeom>
                          <a:noFill/>
                          <a:ln>
                            <a:noFill/>
                          </a:ln>
                        </pic:spPr>
                      </pic:pic>
                    </a:graphicData>
                  </a:graphic>
                </wp:anchor>
              </w:drawing>
            </w:r>
          </w:p>
        </w:tc>
        <w:tc>
          <w:tcPr>
            <w:tcW w:w="4202"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饰面：采用进口全牛皮，厚度1.1mm，皮革面料的干摩擦牢度≥4级，皮革涂层粘着牢度≥3.0N/10mm，可分解芳香胺未检出，皮革PH值4.0~6.0；经液氨多道浸色及防潮、防腐等工艺处理，不但使皮面更加柔软舒适，光彩夺目，光泽持久，而且透气性、韧性等理化指标更胜一筹。选用多层强力拉筋包背，具有回力好，经久耐用的优点，用进口的高速衣车及粗线车制皮套，直接包面，沉稳舒适；</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★2、海绵：采用“圣诺盟东亚”高密度定型海绵，密度为≥40kg/m³，回弹性能≥43%，压缩永久变形≤4.2%；理化性能符合国家现行标准。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★3、脚架为全实木橡木具有硬度高，密度大，承受力强，选材无结疤，腐朽等现象。</w:t>
            </w:r>
          </w:p>
        </w:tc>
        <w:tc>
          <w:tcPr>
            <w:tcW w:w="43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黑色</w:t>
            </w:r>
          </w:p>
        </w:tc>
        <w:tc>
          <w:tcPr>
            <w:tcW w:w="81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680W*600D*1600H</w:t>
            </w:r>
          </w:p>
        </w:tc>
      </w:tr>
    </w:tbl>
    <w:p>
      <w:pPr>
        <w:widowControl/>
        <w:spacing w:line="360" w:lineRule="auto"/>
        <w:ind w:left="1" w:firstLine="420" w:firstLineChars="200"/>
        <w:jc w:val="left"/>
        <w:rPr>
          <w:rFonts w:hint="eastAsia" w:ascii="宋体" w:hAnsi="宋体" w:cs="宋体"/>
          <w:szCs w:val="21"/>
        </w:rPr>
      </w:pPr>
      <w:r>
        <w:rPr>
          <w:rFonts w:hint="eastAsia" w:ascii="宋体" w:hAnsi="宋体" w:cs="宋体"/>
          <w:szCs w:val="21"/>
          <w:lang w:val="en-US" w:eastAsia="zh-CN"/>
        </w:rPr>
        <w:t>4、</w:t>
      </w:r>
      <w:r>
        <w:rPr>
          <w:rFonts w:hint="eastAsia" w:ascii="宋体" w:hAnsi="宋体" w:cs="宋体"/>
          <w:b/>
          <w:bCs/>
          <w:szCs w:val="21"/>
          <w:u w:val="double"/>
        </w:rPr>
        <w:t>样品不能出现供应商的任何标志、标记如：品牌、制造商、型号等，样品上涉及供应商的标志及标记请做遮挡或封存，否则：在评标环节的“样品”评审中将不得分，请供应商提前处理好各自相应的样品。</w:t>
      </w:r>
    </w:p>
    <w:p>
      <w:pPr>
        <w:widowControl/>
        <w:spacing w:line="360" w:lineRule="auto"/>
        <w:ind w:left="1" w:firstLine="420" w:firstLineChars="200"/>
        <w:jc w:val="left"/>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采购人将对成交供应商的样品进行封存，所有供应商自行承担相关样品制作、运输等费用。</w:t>
      </w:r>
    </w:p>
    <w:p>
      <w:pPr>
        <w:widowControl/>
        <w:spacing w:line="360" w:lineRule="auto"/>
        <w:ind w:left="1" w:firstLine="420" w:firstLineChars="200"/>
        <w:jc w:val="left"/>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未成交供应商的样品必须于开标后及时搬离样品存放区，采购单位不承担样品的保管责任。</w:t>
      </w:r>
    </w:p>
    <w:p>
      <w:pPr>
        <w:widowControl/>
        <w:numPr>
          <w:ilvl w:val="0"/>
          <w:numId w:val="0"/>
        </w:numPr>
        <w:spacing w:line="360" w:lineRule="auto"/>
        <w:jc w:val="left"/>
        <w:rPr>
          <w:rFonts w:ascii="宋体" w:hAnsi="宋体" w:cs="宋体"/>
          <w:b/>
          <w:bCs/>
          <w:szCs w:val="21"/>
        </w:rPr>
      </w:pPr>
      <w:r>
        <w:rPr>
          <w:rFonts w:hint="eastAsia" w:ascii="宋体" w:hAnsi="宋体" w:cs="宋体"/>
          <w:b/>
          <w:bCs/>
          <w:szCs w:val="21"/>
          <w:lang w:val="en-US" w:eastAsia="zh-CN"/>
        </w:rPr>
        <w:t>九</w:t>
      </w:r>
      <w:r>
        <w:rPr>
          <w:rFonts w:hint="eastAsia" w:ascii="宋体" w:hAnsi="宋体" w:cs="宋体"/>
          <w:b/>
          <w:bCs/>
          <w:szCs w:val="21"/>
        </w:rPr>
        <w:t>、凡对本次采购提出询问，请按以下方式联系：</w:t>
      </w:r>
    </w:p>
    <w:p>
      <w:pPr>
        <w:widowControl/>
        <w:spacing w:line="360" w:lineRule="auto"/>
        <w:ind w:firstLine="420" w:firstLineChars="200"/>
        <w:jc w:val="left"/>
        <w:rPr>
          <w:rFonts w:ascii="宋体" w:hAnsi="宋体" w:cs="宋体"/>
          <w:szCs w:val="21"/>
        </w:rPr>
      </w:pPr>
      <w:r>
        <w:rPr>
          <w:rFonts w:hint="eastAsia" w:ascii="宋体" w:hAnsi="宋体" w:cs="宋体"/>
          <w:szCs w:val="21"/>
        </w:rPr>
        <w:t xml:space="preserve">1、采购单位信息 </w:t>
      </w:r>
    </w:p>
    <w:p>
      <w:pPr>
        <w:spacing w:line="360" w:lineRule="auto"/>
        <w:ind w:firstLine="420" w:firstLineChars="200"/>
        <w:rPr>
          <w:rFonts w:ascii="宋体" w:hAnsi="宋体" w:cs="宋体"/>
          <w:szCs w:val="21"/>
        </w:rPr>
      </w:pPr>
      <w:r>
        <w:rPr>
          <w:rFonts w:hint="eastAsia" w:ascii="宋体" w:hAnsi="宋体" w:cs="宋体"/>
          <w:szCs w:val="21"/>
        </w:rPr>
        <w:t>名称：江苏省南通市人民检察院</w:t>
      </w:r>
    </w:p>
    <w:p>
      <w:pPr>
        <w:spacing w:line="360" w:lineRule="auto"/>
        <w:ind w:firstLine="420" w:firstLineChars="200"/>
        <w:rPr>
          <w:rFonts w:ascii="宋体" w:hAnsi="宋体" w:cs="宋体"/>
          <w:szCs w:val="21"/>
        </w:rPr>
      </w:pPr>
      <w:r>
        <w:rPr>
          <w:rFonts w:hint="eastAsia" w:ascii="宋体" w:hAnsi="宋体" w:cs="宋体"/>
          <w:szCs w:val="21"/>
        </w:rPr>
        <w:t>地址：南通市濠南路251号</w:t>
      </w:r>
    </w:p>
    <w:p>
      <w:pPr>
        <w:spacing w:line="360" w:lineRule="auto"/>
        <w:ind w:firstLine="420" w:firstLineChars="200"/>
        <w:rPr>
          <w:rFonts w:ascii="宋体" w:hAnsi="宋体" w:cs="宋体"/>
          <w:szCs w:val="21"/>
        </w:rPr>
      </w:pPr>
      <w:r>
        <w:rPr>
          <w:rFonts w:hint="eastAsia" w:ascii="宋体" w:hAnsi="宋体" w:cs="宋体"/>
          <w:szCs w:val="21"/>
        </w:rPr>
        <w:t>需求联系人：季主任   联系电话：13921678505</w:t>
      </w:r>
    </w:p>
    <w:p>
      <w:pPr>
        <w:spacing w:line="360" w:lineRule="auto"/>
        <w:ind w:left="420" w:leftChars="200"/>
        <w:rPr>
          <w:rFonts w:ascii="宋体" w:hAnsi="宋体" w:cs="宋体"/>
          <w:szCs w:val="21"/>
        </w:rPr>
      </w:pPr>
      <w:r>
        <w:rPr>
          <w:rFonts w:hint="eastAsia" w:ascii="宋体" w:hAnsi="宋体" w:cs="宋体"/>
          <w:szCs w:val="21"/>
        </w:rPr>
        <w:t>2、采购代理机构信息</w:t>
      </w:r>
    </w:p>
    <w:p>
      <w:pPr>
        <w:spacing w:line="360" w:lineRule="auto"/>
        <w:ind w:left="420" w:leftChars="200"/>
        <w:rPr>
          <w:rFonts w:ascii="宋体" w:hAnsi="宋体" w:cs="宋体"/>
          <w:szCs w:val="21"/>
        </w:rPr>
      </w:pPr>
      <w:r>
        <w:rPr>
          <w:rFonts w:hint="eastAsia" w:ascii="宋体" w:hAnsi="宋体" w:cs="宋体"/>
          <w:szCs w:val="21"/>
        </w:rPr>
        <w:t>名称：南通正扬工程项目管理有限公司</w:t>
      </w:r>
    </w:p>
    <w:p>
      <w:pPr>
        <w:spacing w:line="360" w:lineRule="auto"/>
        <w:ind w:firstLine="420" w:firstLineChars="200"/>
        <w:rPr>
          <w:rFonts w:ascii="宋体" w:hAnsi="宋体" w:cs="宋体"/>
          <w:szCs w:val="21"/>
        </w:rPr>
      </w:pPr>
      <w:r>
        <w:rPr>
          <w:rFonts w:hint="eastAsia" w:ascii="宋体" w:hAnsi="宋体" w:cs="宋体"/>
          <w:szCs w:val="21"/>
        </w:rPr>
        <w:t>地址：南通市崇川区青年中路153号4号楼213室</w:t>
      </w:r>
    </w:p>
    <w:p>
      <w:pPr>
        <w:spacing w:line="360" w:lineRule="auto"/>
        <w:ind w:firstLine="420" w:firstLineChars="200"/>
        <w:rPr>
          <w:rFonts w:ascii="宋体" w:hAnsi="宋体" w:cs="宋体"/>
          <w:szCs w:val="21"/>
        </w:rPr>
      </w:pPr>
      <w:r>
        <w:rPr>
          <w:rFonts w:hint="eastAsia" w:ascii="宋体" w:hAnsi="宋体" w:cs="宋体"/>
          <w:szCs w:val="21"/>
        </w:rPr>
        <w:t xml:space="preserve">联系人：李艳梅     </w:t>
      </w:r>
    </w:p>
    <w:p>
      <w:pPr>
        <w:spacing w:line="360" w:lineRule="auto"/>
        <w:ind w:firstLine="420" w:firstLineChars="200"/>
        <w:rPr>
          <w:rFonts w:ascii="宋体" w:hAnsi="宋体" w:cs="宋体"/>
          <w:szCs w:val="21"/>
        </w:rPr>
      </w:pPr>
      <w:r>
        <w:rPr>
          <w:rFonts w:hint="eastAsia" w:ascii="宋体" w:hAnsi="宋体" w:cs="宋体"/>
          <w:szCs w:val="21"/>
        </w:rPr>
        <w:t>联系电话：17778751998</w:t>
      </w:r>
    </w:p>
    <w:p>
      <w:pPr>
        <w:spacing w:line="360" w:lineRule="auto"/>
        <w:ind w:left="420" w:leftChars="200"/>
        <w:rPr>
          <w:rFonts w:ascii="宋体" w:hAnsi="宋体" w:cs="宋体"/>
          <w:szCs w:val="21"/>
        </w:rPr>
      </w:pPr>
      <w:r>
        <w:rPr>
          <w:rFonts w:hint="eastAsia" w:ascii="宋体" w:hAnsi="宋体" w:cs="宋体"/>
          <w:szCs w:val="21"/>
        </w:rPr>
        <w:t>邮箱号码：1205007749@qq.com</w:t>
      </w:r>
    </w:p>
    <w:p>
      <w:pPr>
        <w:pStyle w:val="5"/>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第二章  投标供应商须知</w:t>
      </w:r>
    </w:p>
    <w:p>
      <w:pPr>
        <w:snapToGrid w:val="0"/>
        <w:spacing w:line="480" w:lineRule="exact"/>
        <w:ind w:firstLine="422" w:firstLineChars="200"/>
        <w:outlineLvl w:val="1"/>
        <w:rPr>
          <w:rFonts w:ascii="宋体" w:hAnsi="宋体" w:cs="宋体"/>
          <w:b/>
          <w:bCs/>
          <w:szCs w:val="21"/>
        </w:rPr>
      </w:pPr>
      <w:r>
        <w:rPr>
          <w:rFonts w:hint="eastAsia" w:ascii="宋体" w:hAnsi="宋体" w:cs="宋体"/>
          <w:b/>
          <w:bCs/>
          <w:szCs w:val="21"/>
        </w:rPr>
        <w:t>一、说明</w:t>
      </w:r>
    </w:p>
    <w:p>
      <w:pPr>
        <w:snapToGrid w:val="0"/>
        <w:spacing w:line="480" w:lineRule="exact"/>
        <w:ind w:firstLine="420" w:firstLineChars="200"/>
        <w:rPr>
          <w:rFonts w:ascii="宋体" w:hAnsi="宋体" w:cs="宋体"/>
          <w:bCs/>
          <w:szCs w:val="21"/>
        </w:rPr>
      </w:pPr>
      <w:r>
        <w:rPr>
          <w:rFonts w:hint="eastAsia" w:ascii="宋体" w:hAnsi="宋体" w:cs="宋体"/>
          <w:bCs/>
          <w:szCs w:val="21"/>
        </w:rPr>
        <w:t>1、本竞争性磋商文件仅适用于采购人组织的竞争性磋商采购活动。</w:t>
      </w:r>
    </w:p>
    <w:p>
      <w:pPr>
        <w:snapToGrid w:val="0"/>
        <w:spacing w:line="480" w:lineRule="exact"/>
        <w:ind w:firstLine="420" w:firstLineChars="200"/>
        <w:rPr>
          <w:rFonts w:ascii="宋体" w:hAnsi="宋体" w:cs="宋体"/>
          <w:bCs/>
          <w:szCs w:val="21"/>
        </w:rPr>
      </w:pPr>
      <w:r>
        <w:rPr>
          <w:rFonts w:hint="eastAsia" w:ascii="宋体" w:hAnsi="宋体" w:cs="宋体"/>
          <w:bCs/>
          <w:szCs w:val="21"/>
        </w:rPr>
        <w:t>2、竞争性磋商活动及因本次磋商产生的合同受中国法律制约和保护。</w:t>
      </w:r>
    </w:p>
    <w:p>
      <w:pPr>
        <w:snapToGrid w:val="0"/>
        <w:spacing w:line="480" w:lineRule="exact"/>
        <w:ind w:firstLine="420" w:firstLineChars="200"/>
        <w:rPr>
          <w:rFonts w:ascii="宋体" w:hAnsi="宋体" w:cs="宋体"/>
          <w:bCs/>
          <w:szCs w:val="21"/>
        </w:rPr>
      </w:pPr>
      <w:r>
        <w:rPr>
          <w:rFonts w:hint="eastAsia" w:ascii="宋体" w:hAnsi="宋体" w:cs="宋体"/>
          <w:bCs/>
          <w:szCs w:val="21"/>
        </w:rPr>
        <w:t>3、竞争性磋商文件的解释权属于采购人。</w:t>
      </w:r>
    </w:p>
    <w:p>
      <w:pPr>
        <w:snapToGrid w:val="0"/>
        <w:spacing w:line="480" w:lineRule="exact"/>
        <w:ind w:firstLine="420" w:firstLineChars="200"/>
        <w:rPr>
          <w:rFonts w:ascii="宋体" w:hAnsi="宋体" w:cs="宋体"/>
          <w:szCs w:val="21"/>
        </w:rPr>
      </w:pPr>
      <w:r>
        <w:rPr>
          <w:rFonts w:hint="eastAsia" w:ascii="宋体" w:hAnsi="宋体" w:cs="宋体"/>
          <w:szCs w:val="21"/>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b/>
          <w:szCs w:val="21"/>
        </w:rPr>
        <w:t>非书面形式的不作为日后质疑提出的依据。</w:t>
      </w:r>
    </w:p>
    <w:p>
      <w:pPr>
        <w:snapToGrid w:val="0"/>
        <w:spacing w:line="480" w:lineRule="exact"/>
        <w:ind w:firstLine="420" w:firstLineChars="200"/>
        <w:rPr>
          <w:rFonts w:ascii="宋体" w:hAnsi="宋体" w:cs="宋体"/>
          <w:szCs w:val="21"/>
        </w:rPr>
      </w:pPr>
      <w:r>
        <w:rPr>
          <w:rFonts w:hint="eastAsia" w:ascii="宋体" w:hAnsi="宋体" w:cs="宋体"/>
          <w:szCs w:val="21"/>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20" w:firstLineChars="200"/>
        <w:rPr>
          <w:rFonts w:ascii="宋体" w:hAnsi="宋体" w:cs="宋体"/>
          <w:szCs w:val="21"/>
        </w:rPr>
      </w:pPr>
      <w:r>
        <w:rPr>
          <w:rFonts w:hint="eastAsia" w:ascii="宋体" w:hAnsi="宋体" w:cs="宋体"/>
          <w:szCs w:val="21"/>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480" w:lineRule="exact"/>
        <w:ind w:firstLine="422" w:firstLineChars="200"/>
        <w:outlineLvl w:val="1"/>
        <w:rPr>
          <w:rFonts w:ascii="宋体" w:hAnsi="宋体" w:cs="宋体"/>
          <w:b/>
          <w:szCs w:val="21"/>
        </w:rPr>
      </w:pPr>
      <w:r>
        <w:rPr>
          <w:rFonts w:hint="eastAsia" w:ascii="宋体" w:hAnsi="宋体" w:cs="宋体"/>
          <w:b/>
          <w:szCs w:val="21"/>
        </w:rPr>
        <w:t>二、磋商文件的澄清、修改、答疑</w:t>
      </w:r>
    </w:p>
    <w:p>
      <w:pPr>
        <w:snapToGrid w:val="0"/>
        <w:spacing w:line="480" w:lineRule="exact"/>
        <w:ind w:firstLine="420" w:firstLineChars="200"/>
        <w:rPr>
          <w:rFonts w:ascii="宋体" w:hAnsi="宋体" w:cs="宋体"/>
          <w:szCs w:val="21"/>
        </w:rPr>
      </w:pPr>
      <w:r>
        <w:rPr>
          <w:rFonts w:hint="eastAsia" w:ascii="宋体" w:hAnsi="宋体" w:cs="宋体"/>
          <w:szCs w:val="21"/>
        </w:rPr>
        <w:t>1、代理机构有权对发出的磋商文件进行必要的澄清、修改或补充。</w:t>
      </w:r>
    </w:p>
    <w:p>
      <w:pPr>
        <w:snapToGrid w:val="0"/>
        <w:spacing w:line="480" w:lineRule="exact"/>
        <w:ind w:firstLine="420" w:firstLineChars="200"/>
        <w:jc w:val="left"/>
        <w:rPr>
          <w:rFonts w:ascii="宋体" w:hAnsi="宋体" w:cs="宋体"/>
          <w:szCs w:val="21"/>
        </w:rPr>
      </w:pPr>
      <w:r>
        <w:rPr>
          <w:rFonts w:hint="eastAsia" w:ascii="宋体" w:hAnsi="宋体" w:cs="宋体"/>
          <w:szCs w:val="21"/>
        </w:rPr>
        <w:t>2、磋商文件的澄清、修改、补充等内容均以书面明确的形式发布，并以“江苏省南通市人民检察院”官网发布的信息为准。</w:t>
      </w:r>
    </w:p>
    <w:p>
      <w:pPr>
        <w:snapToGrid w:val="0"/>
        <w:spacing w:line="480" w:lineRule="exact"/>
        <w:ind w:firstLine="420" w:firstLineChars="200"/>
        <w:rPr>
          <w:rFonts w:ascii="宋体" w:hAnsi="宋体" w:cs="宋体"/>
          <w:szCs w:val="21"/>
        </w:rPr>
      </w:pPr>
      <w:r>
        <w:rPr>
          <w:rFonts w:hint="eastAsia" w:ascii="宋体" w:hAnsi="宋体" w:cs="宋体"/>
          <w:szCs w:val="21"/>
        </w:rPr>
        <w:t>3、代理机构对磋商文件的澄清、修改将构成磋商文件的一部分，对响应磋商的供应商具有约束力。</w:t>
      </w:r>
    </w:p>
    <w:p>
      <w:pPr>
        <w:snapToGrid w:val="0"/>
        <w:spacing w:line="480" w:lineRule="exact"/>
        <w:ind w:firstLine="420" w:firstLineChars="200"/>
        <w:rPr>
          <w:rFonts w:ascii="宋体" w:hAnsi="宋体" w:cs="宋体"/>
          <w:szCs w:val="21"/>
        </w:rPr>
      </w:pPr>
      <w:r>
        <w:rPr>
          <w:rFonts w:hint="eastAsia" w:ascii="宋体" w:hAnsi="宋体" w:cs="宋体"/>
          <w:szCs w:val="21"/>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20" w:firstLineChars="200"/>
        <w:rPr>
          <w:rFonts w:ascii="宋体" w:hAnsi="宋体" w:cs="宋体"/>
          <w:szCs w:val="21"/>
        </w:rPr>
      </w:pPr>
      <w:r>
        <w:rPr>
          <w:rFonts w:hint="eastAsia" w:ascii="宋体" w:hAnsi="宋体" w:cs="宋体"/>
          <w:szCs w:val="21"/>
        </w:rPr>
        <w:t>5、除非代理机构以书面的形式对磋商文件作出澄清、修改及补充，供应商对涉及磋商文件的任何推论、理解和结论所造成的结果，均由供应商自负。</w:t>
      </w:r>
    </w:p>
    <w:p>
      <w:pPr>
        <w:snapToGrid w:val="0"/>
        <w:spacing w:line="480" w:lineRule="exact"/>
        <w:ind w:firstLine="420" w:firstLineChars="200"/>
        <w:rPr>
          <w:rFonts w:ascii="宋体" w:hAnsi="宋体" w:cs="宋体"/>
          <w:szCs w:val="21"/>
        </w:rPr>
      </w:pPr>
      <w:r>
        <w:rPr>
          <w:rFonts w:hint="eastAsia" w:ascii="宋体" w:hAnsi="宋体" w:cs="宋体"/>
          <w:szCs w:val="21"/>
        </w:rPr>
        <w:t>6、采购单位视情组织答疑会。如有产生答疑且对磋商文件内容有修改，代理机构将按照本须知有关规定，以补充通知（公告）的方式发出。</w:t>
      </w:r>
    </w:p>
    <w:p>
      <w:pPr>
        <w:snapToGrid w:val="0"/>
        <w:spacing w:line="480" w:lineRule="exact"/>
        <w:ind w:firstLine="422" w:firstLineChars="200"/>
        <w:outlineLvl w:val="1"/>
        <w:rPr>
          <w:rFonts w:ascii="宋体" w:hAnsi="宋体" w:cs="宋体"/>
          <w:b/>
          <w:szCs w:val="21"/>
        </w:rPr>
      </w:pPr>
      <w:r>
        <w:rPr>
          <w:rFonts w:hint="eastAsia" w:ascii="宋体" w:hAnsi="宋体" w:cs="宋体"/>
          <w:b/>
          <w:szCs w:val="21"/>
        </w:rPr>
        <w:t>三、响应文件的编制及装订</w:t>
      </w:r>
    </w:p>
    <w:p>
      <w:pPr>
        <w:spacing w:line="480" w:lineRule="exact"/>
        <w:ind w:firstLine="424" w:firstLineChars="202"/>
        <w:rPr>
          <w:rFonts w:ascii="宋体" w:hAnsi="宋体" w:cs="宋体"/>
          <w:szCs w:val="21"/>
        </w:rPr>
      </w:pPr>
      <w:r>
        <w:rPr>
          <w:rFonts w:hint="eastAsia" w:ascii="宋体" w:hAnsi="宋体" w:cs="宋体"/>
          <w:szCs w:val="21"/>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22" w:firstLineChars="200"/>
        <w:outlineLvl w:val="1"/>
        <w:rPr>
          <w:rFonts w:ascii="宋体" w:hAnsi="宋体" w:cs="宋体"/>
          <w:b/>
          <w:bCs/>
          <w:szCs w:val="21"/>
        </w:rPr>
      </w:pPr>
      <w:r>
        <w:rPr>
          <w:rFonts w:hint="eastAsia" w:ascii="宋体" w:hAnsi="宋体" w:cs="宋体"/>
          <w:b/>
          <w:bCs/>
          <w:szCs w:val="21"/>
        </w:rPr>
        <w:t>四、响应文件的份数和签署</w:t>
      </w:r>
    </w:p>
    <w:p>
      <w:pPr>
        <w:snapToGrid w:val="0"/>
        <w:spacing w:line="480" w:lineRule="exact"/>
        <w:ind w:firstLine="420" w:firstLineChars="200"/>
        <w:rPr>
          <w:rFonts w:ascii="宋体" w:hAnsi="宋体" w:cs="宋体"/>
          <w:szCs w:val="21"/>
        </w:rPr>
      </w:pPr>
      <w:r>
        <w:rPr>
          <w:rFonts w:hint="eastAsia" w:ascii="宋体" w:hAnsi="宋体" w:cs="宋体"/>
          <w:szCs w:val="21"/>
        </w:rPr>
        <w:t>1、响应文件由：</w:t>
      </w: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资格审查文件、</w:t>
      </w: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技术响应文件、③商务报价响应文件共3部分组成（以下由文件序号代称）。</w:t>
      </w:r>
    </w:p>
    <w:p>
      <w:pPr>
        <w:snapToGrid w:val="0"/>
        <w:spacing w:line="480" w:lineRule="exact"/>
        <w:ind w:firstLine="420" w:firstLineChars="200"/>
        <w:rPr>
          <w:rFonts w:ascii="宋体" w:hAnsi="宋体" w:cs="宋体"/>
          <w:b/>
          <w:szCs w:val="21"/>
          <w:u w:val="single"/>
        </w:rPr>
      </w:pPr>
      <w:r>
        <w:rPr>
          <w:rFonts w:hint="eastAsia" w:ascii="宋体" w:hAnsi="宋体" w:cs="宋体"/>
          <w:szCs w:val="21"/>
        </w:rPr>
        <w:t>2、响应文件均为一式三份，其中“正本”一份和“副本”二份。</w:t>
      </w:r>
    </w:p>
    <w:p>
      <w:pPr>
        <w:snapToGrid w:val="0"/>
        <w:spacing w:line="480" w:lineRule="exact"/>
        <w:ind w:firstLine="411" w:firstLineChars="196"/>
        <w:rPr>
          <w:rFonts w:ascii="宋体" w:hAnsi="宋体" w:cs="宋体"/>
          <w:szCs w:val="21"/>
        </w:rPr>
      </w:pPr>
      <w:r>
        <w:rPr>
          <w:rFonts w:hint="eastAsia" w:ascii="宋体" w:hAnsi="宋体" w:cs="宋体"/>
          <w:szCs w:val="21"/>
        </w:rPr>
        <w:t>3、在每份响应文件上要明确标注项目名称、对应的响应文件名称、供应商的全称、日期、“正本”“副本”字样。“正本”和“副本”若有差异，概以“正本”为准。</w:t>
      </w:r>
    </w:p>
    <w:p>
      <w:pPr>
        <w:snapToGrid w:val="0"/>
        <w:spacing w:line="480" w:lineRule="exact"/>
        <w:ind w:firstLine="411" w:firstLineChars="196"/>
        <w:rPr>
          <w:rFonts w:ascii="宋体" w:hAnsi="宋体" w:cs="宋体"/>
          <w:szCs w:val="21"/>
        </w:rPr>
      </w:pPr>
      <w:r>
        <w:rPr>
          <w:rFonts w:hint="eastAsia" w:ascii="宋体" w:hAnsi="宋体" w:cs="宋体"/>
          <w:szCs w:val="21"/>
        </w:rPr>
        <w:t>4、供应商可将响应文件正副本统一密封或分别密封，如正本和副本分别密封的，应在封袋上标明正、副本字样。</w:t>
      </w:r>
    </w:p>
    <w:p>
      <w:pPr>
        <w:snapToGrid w:val="0"/>
        <w:spacing w:line="480" w:lineRule="exact"/>
        <w:ind w:firstLine="411" w:firstLineChars="196"/>
        <w:rPr>
          <w:rFonts w:ascii="宋体" w:hAnsi="宋体" w:cs="宋体"/>
          <w:szCs w:val="21"/>
        </w:rPr>
      </w:pPr>
      <w:r>
        <w:rPr>
          <w:rFonts w:hint="eastAsia" w:ascii="宋体" w:hAnsi="宋体" w:cs="宋体"/>
          <w:szCs w:val="21"/>
        </w:rPr>
        <w:t>5、响应文件中的所有“正本”，其正文内容须按磋商文件要求由供应商法定代表人或被授权人签字（或盖章）并加盖单位公章。“副本”可复印，但须加盖单位公章。</w:t>
      </w:r>
    </w:p>
    <w:p>
      <w:pPr>
        <w:snapToGrid w:val="0"/>
        <w:spacing w:line="480" w:lineRule="exact"/>
        <w:ind w:firstLine="413" w:firstLineChars="196"/>
        <w:rPr>
          <w:rFonts w:ascii="宋体" w:hAnsi="宋体" w:cs="宋体"/>
          <w:b/>
          <w:bCs/>
          <w:szCs w:val="21"/>
        </w:rPr>
      </w:pPr>
      <w:r>
        <w:rPr>
          <w:rFonts w:hint="eastAsia" w:ascii="宋体" w:hAnsi="宋体" w:cs="宋体"/>
          <w:b/>
          <w:bCs/>
          <w:szCs w:val="21"/>
        </w:rPr>
        <w:t>五、响应文件的密封及标记</w:t>
      </w:r>
    </w:p>
    <w:p>
      <w:pPr>
        <w:snapToGrid w:val="0"/>
        <w:spacing w:line="480" w:lineRule="exact"/>
        <w:ind w:firstLine="420" w:firstLineChars="200"/>
        <w:rPr>
          <w:rFonts w:ascii="宋体" w:hAnsi="宋体" w:cs="宋体"/>
          <w:szCs w:val="21"/>
          <w:u w:val="single"/>
        </w:rPr>
      </w:pPr>
      <w:r>
        <w:rPr>
          <w:rFonts w:hint="eastAsia" w:ascii="宋体" w:hAnsi="宋体" w:cs="宋体"/>
          <w:szCs w:val="21"/>
        </w:rPr>
        <w:t>1、供应商须将本项目响应文件：</w:t>
      </w: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w:t>
      </w:r>
      <w:r>
        <w:rPr>
          <w:rFonts w:hint="eastAsia" w:ascii="宋体" w:hAnsi="宋体" w:cs="宋体"/>
          <w:szCs w:val="21"/>
        </w:rPr>
        <w:fldChar w:fldCharType="begin"/>
      </w:r>
      <w:r>
        <w:rPr>
          <w:rFonts w:hint="eastAsia" w:ascii="宋体" w:hAnsi="宋体" w:cs="宋体"/>
          <w:szCs w:val="21"/>
        </w:rPr>
        <w:instrText xml:space="preserve">= 3 \* GB3</w:instrText>
      </w:r>
      <w:r>
        <w:rPr>
          <w:rFonts w:hint="eastAsia" w:ascii="宋体" w:hAnsi="宋体" w:cs="宋体"/>
          <w:szCs w:val="21"/>
        </w:rPr>
        <w:fldChar w:fldCharType="separate"/>
      </w:r>
      <w:r>
        <w:rPr>
          <w:rFonts w:hint="eastAsia" w:ascii="宋体" w:hAnsi="宋体" w:cs="宋体"/>
          <w:szCs w:val="21"/>
        </w:rPr>
        <w:t>③</w:t>
      </w:r>
      <w:r>
        <w:rPr>
          <w:rFonts w:hint="eastAsia" w:ascii="宋体" w:hAnsi="宋体" w:cs="宋体"/>
          <w:szCs w:val="21"/>
        </w:rPr>
        <w:fldChar w:fldCharType="end"/>
      </w:r>
      <w:r>
        <w:rPr>
          <w:rFonts w:hint="eastAsia" w:ascii="宋体" w:hAnsi="宋体" w:cs="宋体"/>
          <w:b/>
          <w:szCs w:val="21"/>
        </w:rPr>
        <w:t>单独密封</w:t>
      </w:r>
      <w:r>
        <w:rPr>
          <w:rFonts w:hint="eastAsia" w:ascii="宋体" w:hAnsi="宋体" w:cs="宋体"/>
          <w:szCs w:val="21"/>
        </w:rPr>
        <w:t>。</w:t>
      </w:r>
    </w:p>
    <w:p>
      <w:pPr>
        <w:snapToGrid w:val="0"/>
        <w:spacing w:line="480" w:lineRule="exact"/>
        <w:ind w:firstLine="420" w:firstLineChars="200"/>
        <w:rPr>
          <w:rFonts w:ascii="宋体" w:hAnsi="宋体" w:cs="宋体"/>
          <w:szCs w:val="21"/>
        </w:rPr>
      </w:pPr>
      <w:r>
        <w:rPr>
          <w:rFonts w:hint="eastAsia" w:ascii="宋体" w:hAnsi="宋体" w:cs="宋体"/>
          <w:szCs w:val="21"/>
        </w:rPr>
        <w:t>2、密封后，应在每一密封的响应文件上明确标注磋商项目名称、响应文件各自对应的名称、供应商的全称及日期。</w:t>
      </w:r>
    </w:p>
    <w:p>
      <w:pPr>
        <w:snapToGrid w:val="0"/>
        <w:spacing w:line="480" w:lineRule="exact"/>
        <w:ind w:firstLine="420" w:firstLineChars="200"/>
        <w:rPr>
          <w:rFonts w:ascii="宋体" w:hAnsi="宋体" w:cs="宋体"/>
          <w:szCs w:val="21"/>
        </w:rPr>
      </w:pPr>
      <w:r>
        <w:rPr>
          <w:rFonts w:hint="eastAsia" w:ascii="宋体" w:hAnsi="宋体" w:cs="宋体"/>
          <w:szCs w:val="21"/>
        </w:rPr>
        <w:t>3、在边缝处加盖供应商公章或骑缝签字。</w:t>
      </w:r>
    </w:p>
    <w:p>
      <w:pPr>
        <w:snapToGrid w:val="0"/>
        <w:spacing w:line="480" w:lineRule="exact"/>
        <w:ind w:firstLine="422" w:firstLineChars="200"/>
        <w:rPr>
          <w:rFonts w:ascii="宋体" w:hAnsi="宋体" w:cs="宋体"/>
          <w:szCs w:val="21"/>
        </w:rPr>
      </w:pPr>
      <w:r>
        <w:rPr>
          <w:rFonts w:hint="eastAsia" w:ascii="宋体" w:hAnsi="宋体" w:cs="宋体"/>
          <w:b/>
          <w:szCs w:val="21"/>
        </w:rPr>
        <w:t>【特别提醒】</w:t>
      </w:r>
      <w:r>
        <w:rPr>
          <w:rFonts w:hint="eastAsia" w:ascii="宋体" w:hAnsi="宋体" w:cs="宋体"/>
          <w:szCs w:val="21"/>
        </w:rPr>
        <w:t>响应文件中的</w:t>
      </w: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和</w:t>
      </w:r>
      <w:r>
        <w:rPr>
          <w:rFonts w:hint="eastAsia" w:ascii="宋体" w:hAnsi="宋体" w:cs="宋体"/>
          <w:szCs w:val="21"/>
        </w:rPr>
        <w:fldChar w:fldCharType="begin"/>
      </w:r>
      <w:r>
        <w:rPr>
          <w:rFonts w:hint="eastAsia" w:ascii="宋体" w:hAnsi="宋体" w:cs="宋体"/>
          <w:szCs w:val="21"/>
        </w:rPr>
        <w:instrText xml:space="preserve"> = 2 \* GB3 </w:instrText>
      </w:r>
      <w:r>
        <w:rPr>
          <w:rFonts w:hint="eastAsia" w:ascii="宋体" w:hAnsi="宋体" w:cs="宋体"/>
          <w:szCs w:val="21"/>
        </w:rPr>
        <w:fldChar w:fldCharType="separate"/>
      </w:r>
      <w:r>
        <w:rPr>
          <w:rFonts w:hint="eastAsia" w:ascii="宋体" w:hAnsi="宋体" w:cs="宋体"/>
          <w:szCs w:val="21"/>
        </w:rPr>
        <w:t>②</w:t>
      </w:r>
      <w:r>
        <w:rPr>
          <w:rFonts w:hint="eastAsia" w:ascii="宋体" w:hAnsi="宋体" w:cs="宋体"/>
          <w:szCs w:val="21"/>
        </w:rPr>
        <w:fldChar w:fldCharType="end"/>
      </w:r>
      <w:r>
        <w:rPr>
          <w:rFonts w:hint="eastAsia" w:ascii="宋体" w:hAnsi="宋体" w:cs="宋体"/>
          <w:szCs w:val="21"/>
        </w:rPr>
        <w:t>的“正本”或“副本”中，均不得含有商务报价响应文件中报价表（报价单）内的任何项目价格，否则作无效投标处理。</w:t>
      </w:r>
    </w:p>
    <w:p>
      <w:pPr>
        <w:snapToGrid w:val="0"/>
        <w:spacing w:line="480" w:lineRule="exact"/>
        <w:ind w:firstLine="434" w:firstLineChars="206"/>
        <w:outlineLvl w:val="1"/>
        <w:rPr>
          <w:rFonts w:ascii="宋体" w:hAnsi="宋体" w:cs="宋体"/>
          <w:b/>
          <w:bCs/>
          <w:szCs w:val="21"/>
        </w:rPr>
      </w:pPr>
      <w:r>
        <w:rPr>
          <w:rFonts w:hint="eastAsia" w:ascii="宋体" w:hAnsi="宋体" w:cs="宋体"/>
          <w:b/>
          <w:bCs/>
          <w:szCs w:val="21"/>
        </w:rPr>
        <w:t>六、磋商报价</w:t>
      </w:r>
    </w:p>
    <w:p>
      <w:pPr>
        <w:snapToGrid w:val="0"/>
        <w:spacing w:line="480" w:lineRule="exact"/>
        <w:ind w:firstLine="432" w:firstLineChars="206"/>
        <w:rPr>
          <w:rFonts w:ascii="宋体" w:hAnsi="宋体" w:cs="宋体"/>
          <w:szCs w:val="21"/>
        </w:rPr>
      </w:pPr>
      <w:r>
        <w:rPr>
          <w:rFonts w:hint="eastAsia" w:ascii="宋体" w:hAnsi="宋体" w:cs="宋体"/>
          <w:szCs w:val="21"/>
        </w:rPr>
        <w:t>1、本项目不接受任何有选择的报价。</w:t>
      </w:r>
    </w:p>
    <w:p>
      <w:pPr>
        <w:snapToGrid w:val="0"/>
        <w:spacing w:line="480" w:lineRule="exact"/>
        <w:ind w:firstLine="432" w:firstLineChars="206"/>
        <w:rPr>
          <w:rFonts w:ascii="宋体" w:hAnsi="宋体" w:cs="宋体"/>
          <w:szCs w:val="21"/>
        </w:rPr>
      </w:pPr>
      <w:r>
        <w:rPr>
          <w:rFonts w:hint="eastAsia" w:ascii="宋体" w:hAnsi="宋体" w:cs="宋体"/>
          <w:szCs w:val="21"/>
        </w:rPr>
        <w:t>2、磋商报价均以人民币为报价的币种。</w:t>
      </w:r>
    </w:p>
    <w:p>
      <w:pPr>
        <w:snapToGrid w:val="0"/>
        <w:spacing w:line="480" w:lineRule="exact"/>
        <w:ind w:firstLine="432" w:firstLineChars="206"/>
        <w:rPr>
          <w:rFonts w:ascii="宋体" w:hAnsi="宋体" w:cs="宋体"/>
          <w:szCs w:val="21"/>
        </w:rPr>
      </w:pPr>
      <w:r>
        <w:rPr>
          <w:rFonts w:hint="eastAsia" w:ascii="宋体" w:hAnsi="宋体" w:cs="宋体"/>
          <w:szCs w:val="21"/>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32" w:firstLineChars="206"/>
        <w:rPr>
          <w:rFonts w:ascii="宋体" w:hAnsi="宋体" w:cs="宋体"/>
          <w:szCs w:val="21"/>
        </w:rPr>
      </w:pPr>
      <w:r>
        <w:rPr>
          <w:rFonts w:hint="eastAsia" w:ascii="宋体" w:hAnsi="宋体" w:cs="宋体"/>
          <w:szCs w:val="21"/>
        </w:rPr>
        <w:t>4、供应商应按本竞争性磋商文件内项目需求的全部采购内容计算单价和总价。</w:t>
      </w:r>
    </w:p>
    <w:p>
      <w:pPr>
        <w:snapToGrid w:val="0"/>
        <w:spacing w:line="500" w:lineRule="exact"/>
        <w:ind w:firstLine="420" w:firstLineChars="200"/>
        <w:rPr>
          <w:rFonts w:ascii="宋体" w:hAnsi="宋体" w:cs="宋体"/>
          <w:szCs w:val="21"/>
        </w:rPr>
      </w:pPr>
      <w:r>
        <w:rPr>
          <w:rFonts w:hint="eastAsia" w:ascii="宋体" w:hAnsi="宋体" w:cs="宋体"/>
          <w:szCs w:val="21"/>
        </w:rPr>
        <w:t>5、投标总报价（以人民币计价）应包含货物的成本、利润、税金、开办费、开模费；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售后服务等一切费用；即本项目采购的货物交付使用前的所有费用以及免费质保期内的服务费用等包含响应招标文件采购要求的所有费用。</w:t>
      </w:r>
    </w:p>
    <w:p>
      <w:pPr>
        <w:snapToGrid w:val="0"/>
        <w:spacing w:line="480" w:lineRule="exact"/>
        <w:ind w:firstLine="420" w:firstLineChars="200"/>
        <w:rPr>
          <w:rFonts w:ascii="宋体" w:hAnsi="宋体" w:cs="宋体"/>
          <w:szCs w:val="21"/>
        </w:rPr>
      </w:pPr>
      <w:r>
        <w:rPr>
          <w:rFonts w:hint="eastAsia" w:ascii="宋体" w:hAnsi="宋体" w:cs="宋体"/>
          <w:szCs w:val="21"/>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32" w:firstLineChars="206"/>
        <w:rPr>
          <w:rFonts w:ascii="宋体" w:hAnsi="宋体" w:cs="宋体"/>
          <w:szCs w:val="21"/>
        </w:rPr>
      </w:pPr>
      <w:r>
        <w:rPr>
          <w:rFonts w:hint="eastAsia" w:ascii="宋体" w:hAnsi="宋体" w:cs="宋体"/>
          <w:szCs w:val="21"/>
        </w:rPr>
        <w:t>7、竞争性磋商的最终报价为成交价。同时，供应商的最终成交价在合同实施期间不因市场变化因素而变动。</w:t>
      </w:r>
    </w:p>
    <w:p>
      <w:pPr>
        <w:snapToGrid w:val="0"/>
        <w:spacing w:line="480" w:lineRule="exact"/>
        <w:ind w:firstLine="432" w:firstLineChars="206"/>
        <w:rPr>
          <w:rFonts w:hint="eastAsia" w:ascii="宋体" w:hAnsi="宋体" w:cs="宋体"/>
          <w:szCs w:val="21"/>
        </w:rPr>
      </w:pPr>
      <w:r>
        <w:rPr>
          <w:rFonts w:hint="eastAsia" w:ascii="宋体" w:hAnsi="宋体" w:cs="宋体"/>
          <w:szCs w:val="21"/>
        </w:rPr>
        <w:t>8、最低的磋商报价是成交的重要条件，但不是成交的唯一条件。</w:t>
      </w:r>
    </w:p>
    <w:p>
      <w:pPr>
        <w:snapToGrid w:val="0"/>
        <w:spacing w:line="480" w:lineRule="exact"/>
        <w:ind w:firstLine="432" w:firstLineChars="206"/>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、政府采购政策功能落实</w:t>
      </w:r>
    </w:p>
    <w:p>
      <w:pPr>
        <w:snapToGrid w:val="0"/>
        <w:spacing w:line="480" w:lineRule="exact"/>
        <w:ind w:firstLine="432" w:firstLineChars="206"/>
        <w:rPr>
          <w:rFonts w:hint="eastAsia" w:ascii="宋体" w:hAnsi="宋体" w:cs="宋体"/>
          <w:szCs w:val="21"/>
        </w:rPr>
      </w:pPr>
      <w:r>
        <w:rPr>
          <w:rFonts w:hint="eastAsia" w:ascii="宋体" w:hAnsi="宋体" w:cs="宋体"/>
          <w:szCs w:val="21"/>
        </w:rPr>
        <w:t>小微型企业价格扣除</w:t>
      </w:r>
    </w:p>
    <w:p>
      <w:pPr>
        <w:snapToGrid w:val="0"/>
        <w:spacing w:line="480" w:lineRule="exact"/>
        <w:ind w:firstLine="432" w:firstLineChars="206"/>
        <w:rPr>
          <w:rFonts w:hint="eastAsia" w:ascii="宋体" w:hAnsi="宋体" w:cs="宋体"/>
          <w:szCs w:val="21"/>
        </w:rPr>
      </w:pPr>
      <w:r>
        <w:rPr>
          <w:rFonts w:hint="eastAsia" w:ascii="宋体" w:hAnsi="宋体" w:cs="宋体"/>
          <w:szCs w:val="21"/>
        </w:rPr>
        <w:t>（1）本项目对小型和微型企业产品给予6%（疫情防控期间按照10%执行）的扣除价格，用扣除后的价格参与评审。</w:t>
      </w:r>
    </w:p>
    <w:p>
      <w:pPr>
        <w:snapToGrid w:val="0"/>
        <w:spacing w:line="480" w:lineRule="exact"/>
        <w:ind w:firstLine="432" w:firstLineChars="206"/>
        <w:rPr>
          <w:rFonts w:hint="eastAsia" w:ascii="宋体" w:hAnsi="宋体" w:cs="宋体"/>
          <w:szCs w:val="21"/>
        </w:rPr>
      </w:pPr>
      <w:r>
        <w:rPr>
          <w:rFonts w:hint="eastAsia" w:ascii="宋体" w:hAnsi="宋体" w:cs="宋体"/>
          <w:szCs w:val="21"/>
        </w:rPr>
        <w:t>（2）供应商需按照采购文件的要求提供相应的《小型、微型企业声明函》。</w:t>
      </w:r>
    </w:p>
    <w:p>
      <w:pPr>
        <w:snapToGrid w:val="0"/>
        <w:spacing w:line="480" w:lineRule="exact"/>
        <w:ind w:firstLine="432" w:firstLineChars="206"/>
        <w:rPr>
          <w:rFonts w:hint="eastAsia" w:ascii="宋体" w:hAnsi="宋体" w:cs="宋体"/>
          <w:szCs w:val="21"/>
        </w:rPr>
      </w:pPr>
      <w:r>
        <w:rPr>
          <w:rFonts w:hint="eastAsia" w:ascii="宋体" w:hAnsi="宋体" w:cs="宋体"/>
          <w:szCs w:val="21"/>
        </w:rPr>
        <w:t>（3）企业标准请参照《关于印发中小企业划型标准规定的通知》（工信部联企业[2011]300号）文件规定自行填写。</w:t>
      </w:r>
    </w:p>
    <w:p>
      <w:pPr>
        <w:snapToGrid w:val="0"/>
        <w:spacing w:line="480" w:lineRule="exact"/>
        <w:ind w:firstLine="434" w:firstLineChars="206"/>
        <w:outlineLvl w:val="1"/>
        <w:rPr>
          <w:rFonts w:ascii="宋体" w:hAnsi="宋体" w:cs="宋体"/>
          <w:b/>
          <w:bCs/>
          <w:szCs w:val="21"/>
        </w:rPr>
      </w:pPr>
      <w:r>
        <w:rPr>
          <w:rFonts w:hint="eastAsia" w:ascii="宋体" w:hAnsi="宋体" w:cs="宋体"/>
          <w:b/>
          <w:bCs/>
          <w:szCs w:val="21"/>
        </w:rPr>
        <w:t>七、联合体参与磋商</w:t>
      </w:r>
    </w:p>
    <w:p>
      <w:pPr>
        <w:snapToGrid w:val="0"/>
        <w:spacing w:line="480" w:lineRule="exact"/>
        <w:ind w:firstLine="424" w:firstLineChars="202"/>
        <w:rPr>
          <w:rFonts w:ascii="宋体" w:hAnsi="宋体" w:cs="宋体"/>
          <w:szCs w:val="21"/>
        </w:rPr>
      </w:pPr>
      <w:r>
        <w:rPr>
          <w:rFonts w:hint="eastAsia" w:ascii="宋体" w:hAnsi="宋体" w:cs="宋体"/>
          <w:szCs w:val="21"/>
        </w:rPr>
        <w:t>不接受任何形式的联合体参与本项目的竞争性磋商。</w:t>
      </w:r>
    </w:p>
    <w:p>
      <w:pPr>
        <w:snapToGrid w:val="0"/>
        <w:spacing w:line="480" w:lineRule="exact"/>
        <w:ind w:firstLine="422" w:firstLineChars="200"/>
        <w:outlineLvl w:val="1"/>
        <w:rPr>
          <w:rFonts w:ascii="宋体" w:hAnsi="宋体" w:cs="宋体"/>
          <w:b/>
          <w:bCs/>
          <w:szCs w:val="21"/>
          <w:lang w:val="zh-CN"/>
        </w:rPr>
      </w:pPr>
      <w:r>
        <w:rPr>
          <w:rFonts w:hint="eastAsia" w:ascii="宋体" w:hAnsi="宋体" w:cs="宋体"/>
          <w:b/>
          <w:bCs/>
          <w:szCs w:val="21"/>
          <w:lang w:val="zh-CN"/>
        </w:rPr>
        <w:t>八、</w:t>
      </w:r>
      <w:r>
        <w:rPr>
          <w:rFonts w:hint="eastAsia" w:ascii="宋体" w:hAnsi="宋体" w:cs="宋体"/>
          <w:b/>
          <w:bCs/>
          <w:szCs w:val="21"/>
        </w:rPr>
        <w:t>磋商</w:t>
      </w:r>
      <w:r>
        <w:rPr>
          <w:rFonts w:hint="eastAsia" w:ascii="宋体" w:hAnsi="宋体" w:cs="宋体"/>
          <w:b/>
          <w:bCs/>
          <w:szCs w:val="21"/>
          <w:lang w:val="zh-CN"/>
        </w:rPr>
        <w:t>保证金退还</w:t>
      </w:r>
    </w:p>
    <w:p>
      <w:pPr>
        <w:snapToGrid w:val="0"/>
        <w:spacing w:line="520" w:lineRule="exact"/>
        <w:ind w:firstLine="432" w:firstLineChars="206"/>
        <w:rPr>
          <w:rFonts w:ascii="宋体" w:hAnsi="宋体" w:cs="宋体"/>
          <w:szCs w:val="21"/>
        </w:rPr>
      </w:pPr>
      <w:r>
        <w:rPr>
          <w:rFonts w:hint="eastAsia" w:ascii="宋体" w:hAnsi="宋体" w:cs="宋体"/>
          <w:szCs w:val="21"/>
        </w:rPr>
        <w:t>1、未成交的供应商的磋商保证金，当场退还，成交供应商的磋商保证金将在采购单位与成交供应商签订的合同生效后5个工作日内 ，予以退还（无息）。</w:t>
      </w:r>
    </w:p>
    <w:p>
      <w:pPr>
        <w:snapToGrid w:val="0"/>
        <w:spacing w:line="480" w:lineRule="exact"/>
        <w:ind w:firstLine="403" w:firstLineChars="192"/>
        <w:rPr>
          <w:rFonts w:ascii="宋体" w:hAnsi="宋体" w:cs="宋体"/>
          <w:szCs w:val="21"/>
        </w:rPr>
      </w:pPr>
      <w:r>
        <w:rPr>
          <w:rFonts w:hint="eastAsia" w:ascii="宋体" w:hAnsi="宋体" w:cs="宋体"/>
          <w:szCs w:val="21"/>
        </w:rPr>
        <w:t>2、发生下列情况之一，磋商保证金将不予退还。</w:t>
      </w:r>
    </w:p>
    <w:p>
      <w:pPr>
        <w:snapToGrid w:val="0"/>
        <w:spacing w:line="480" w:lineRule="exact"/>
        <w:ind w:firstLine="403" w:firstLineChars="192"/>
        <w:rPr>
          <w:rFonts w:ascii="宋体" w:hAnsi="宋体" w:cs="宋体"/>
          <w:szCs w:val="21"/>
        </w:rPr>
      </w:pPr>
      <w:r>
        <w:rPr>
          <w:rFonts w:hint="eastAsia" w:ascii="宋体" w:hAnsi="宋体" w:cs="宋体"/>
          <w:szCs w:val="21"/>
        </w:rPr>
        <w:t>（1）</w:t>
      </w:r>
      <w:r>
        <w:rPr>
          <w:rFonts w:hint="eastAsia" w:ascii="宋体" w:hAnsi="宋体" w:cs="宋体"/>
          <w:kern w:val="0"/>
          <w:szCs w:val="21"/>
        </w:rPr>
        <w:t>供应商在提交响应文件截止时间后撤回响应文件的；</w:t>
      </w:r>
    </w:p>
    <w:p>
      <w:pPr>
        <w:snapToGrid w:val="0"/>
        <w:spacing w:line="480" w:lineRule="exact"/>
        <w:ind w:firstLine="403" w:firstLineChars="192"/>
        <w:rPr>
          <w:rFonts w:ascii="宋体" w:hAnsi="宋体" w:cs="宋体"/>
          <w:kern w:val="0"/>
          <w:szCs w:val="21"/>
        </w:rPr>
      </w:pPr>
      <w:r>
        <w:rPr>
          <w:rFonts w:hint="eastAsia" w:ascii="宋体" w:hAnsi="宋体" w:cs="宋体"/>
          <w:szCs w:val="21"/>
        </w:rPr>
        <w:t>（2）</w:t>
      </w:r>
      <w:r>
        <w:rPr>
          <w:rFonts w:hint="eastAsia" w:ascii="宋体" w:hAnsi="宋体" w:cs="宋体"/>
          <w:kern w:val="0"/>
          <w:szCs w:val="21"/>
        </w:rPr>
        <w:t>供应商在响应文件中提供虚假材料的；</w:t>
      </w:r>
    </w:p>
    <w:p>
      <w:pPr>
        <w:snapToGrid w:val="0"/>
        <w:spacing w:line="480" w:lineRule="exact"/>
        <w:ind w:firstLine="403" w:firstLineChars="192"/>
        <w:rPr>
          <w:rFonts w:ascii="宋体" w:hAnsi="宋体" w:cs="宋体"/>
          <w:szCs w:val="21"/>
        </w:rPr>
      </w:pPr>
      <w:r>
        <w:rPr>
          <w:rFonts w:hint="eastAsia" w:ascii="宋体" w:hAnsi="宋体" w:cs="宋体"/>
          <w:szCs w:val="21"/>
        </w:rPr>
        <w:t>（3）除因不可抗力或磋商文件认可的情形以外，</w:t>
      </w:r>
      <w:r>
        <w:rPr>
          <w:rFonts w:hint="eastAsia" w:ascii="宋体" w:hAnsi="宋体" w:cs="宋体"/>
          <w:bCs/>
          <w:szCs w:val="21"/>
        </w:rPr>
        <w:t>中标人</w:t>
      </w:r>
      <w:r>
        <w:rPr>
          <w:rFonts w:hint="eastAsia" w:ascii="宋体" w:hAnsi="宋体" w:cs="宋体"/>
          <w:szCs w:val="21"/>
        </w:rPr>
        <w:t xml:space="preserve">不按规定与采购单位签订合同的； </w:t>
      </w:r>
    </w:p>
    <w:p>
      <w:pPr>
        <w:snapToGrid w:val="0"/>
        <w:spacing w:line="480" w:lineRule="exact"/>
        <w:ind w:firstLine="403" w:firstLineChars="192"/>
        <w:rPr>
          <w:rFonts w:ascii="宋体" w:hAnsi="宋体" w:cs="宋体"/>
          <w:kern w:val="0"/>
          <w:szCs w:val="21"/>
        </w:rPr>
      </w:pPr>
      <w:r>
        <w:rPr>
          <w:rFonts w:hint="eastAsia" w:ascii="宋体" w:hAnsi="宋体" w:cs="宋体"/>
          <w:szCs w:val="21"/>
        </w:rPr>
        <w:t>（4）</w:t>
      </w:r>
      <w:r>
        <w:rPr>
          <w:rFonts w:hint="eastAsia" w:ascii="宋体" w:hAnsi="宋体" w:cs="宋体"/>
          <w:kern w:val="0"/>
          <w:szCs w:val="21"/>
        </w:rPr>
        <w:t>供应商与采购单位、其他供应商或者代理机构恶意串通的；</w:t>
      </w:r>
    </w:p>
    <w:p>
      <w:pPr>
        <w:snapToGrid w:val="0"/>
        <w:spacing w:line="480" w:lineRule="exact"/>
        <w:ind w:firstLine="403" w:firstLineChars="192"/>
        <w:rPr>
          <w:rFonts w:ascii="宋体" w:hAnsi="宋体" w:cs="宋体"/>
          <w:kern w:val="0"/>
          <w:szCs w:val="21"/>
        </w:rPr>
      </w:pPr>
      <w:r>
        <w:rPr>
          <w:rFonts w:hint="eastAsia" w:ascii="宋体" w:hAnsi="宋体" w:cs="宋体"/>
          <w:szCs w:val="21"/>
        </w:rPr>
        <w:t>（5）供应商在磋商过程中有违反有关法律法规的行为；</w:t>
      </w:r>
    </w:p>
    <w:p>
      <w:pPr>
        <w:snapToGrid w:val="0"/>
        <w:spacing w:line="480" w:lineRule="exact"/>
        <w:ind w:firstLine="403" w:firstLineChars="192"/>
        <w:rPr>
          <w:rFonts w:ascii="宋体" w:hAnsi="宋体" w:cs="宋体"/>
          <w:szCs w:val="21"/>
        </w:rPr>
      </w:pPr>
      <w:r>
        <w:rPr>
          <w:rFonts w:hint="eastAsia" w:ascii="宋体" w:hAnsi="宋体" w:cs="宋体"/>
          <w:szCs w:val="21"/>
        </w:rPr>
        <w:t>（6）磋商文件规定的其他情形的。</w:t>
      </w:r>
    </w:p>
    <w:p>
      <w:pPr>
        <w:snapToGrid w:val="0"/>
        <w:spacing w:line="480" w:lineRule="exact"/>
        <w:ind w:firstLine="403" w:firstLineChars="192"/>
        <w:rPr>
          <w:rFonts w:ascii="宋体" w:hAnsi="宋体" w:cs="宋体"/>
          <w:szCs w:val="21"/>
        </w:rPr>
      </w:pPr>
      <w:r>
        <w:rPr>
          <w:rFonts w:hint="eastAsia" w:ascii="宋体" w:hAnsi="宋体" w:cs="宋体"/>
          <w:szCs w:val="21"/>
        </w:rPr>
        <w:t>3、对于在磋商顺利开始后至开标结束前，根据磋商情况退出磋商的供应商，须以书面形式说明退出磋商的原因，经磋商小组同意可以退还其缴纳的磋商保证金。</w:t>
      </w:r>
    </w:p>
    <w:p>
      <w:pPr>
        <w:snapToGrid w:val="0"/>
        <w:spacing w:line="480" w:lineRule="exact"/>
        <w:ind w:firstLine="422" w:firstLineChars="200"/>
        <w:outlineLvl w:val="1"/>
        <w:rPr>
          <w:rFonts w:ascii="宋体" w:hAnsi="宋体" w:cs="宋体"/>
          <w:szCs w:val="21"/>
        </w:rPr>
      </w:pPr>
      <w:r>
        <w:rPr>
          <w:rFonts w:hint="eastAsia" w:ascii="宋体" w:hAnsi="宋体" w:cs="宋体"/>
          <w:b/>
          <w:bCs/>
          <w:szCs w:val="21"/>
        </w:rPr>
        <w:t>九、响应文件及</w:t>
      </w:r>
      <w:r>
        <w:rPr>
          <w:rFonts w:hint="eastAsia" w:ascii="宋体" w:hAnsi="宋体" w:cs="宋体"/>
          <w:b/>
          <w:kern w:val="0"/>
          <w:szCs w:val="21"/>
        </w:rPr>
        <w:t>磋商</w:t>
      </w:r>
      <w:r>
        <w:rPr>
          <w:rFonts w:hint="eastAsia" w:ascii="宋体" w:hAnsi="宋体" w:cs="宋体"/>
          <w:b/>
          <w:bCs/>
          <w:szCs w:val="21"/>
        </w:rPr>
        <w:t>费用</w:t>
      </w:r>
    </w:p>
    <w:p>
      <w:pPr>
        <w:snapToGrid w:val="0"/>
        <w:spacing w:line="480" w:lineRule="exact"/>
        <w:ind w:firstLine="403" w:firstLineChars="192"/>
        <w:rPr>
          <w:rFonts w:ascii="宋体" w:hAnsi="宋体" w:cs="宋体"/>
          <w:szCs w:val="21"/>
        </w:rPr>
      </w:pPr>
      <w:r>
        <w:rPr>
          <w:rFonts w:hint="eastAsia" w:ascii="宋体" w:hAnsi="宋体" w:cs="宋体"/>
          <w:szCs w:val="21"/>
        </w:rPr>
        <w:t>1、本项目招标代理服务费及评委费由成交供应商支付。招标代理服务费2500元。评委费按实支付。评委费支付标准：半天500元/人；超过半天的，每超过1小时增加100 元/人。</w:t>
      </w:r>
    </w:p>
    <w:p>
      <w:pPr>
        <w:snapToGrid w:val="0"/>
        <w:spacing w:line="480" w:lineRule="exact"/>
        <w:ind w:firstLine="403" w:firstLineChars="192"/>
        <w:rPr>
          <w:rFonts w:ascii="宋体" w:hAnsi="宋体" w:cs="宋体"/>
          <w:szCs w:val="21"/>
        </w:rPr>
      </w:pPr>
      <w:r>
        <w:rPr>
          <w:rFonts w:hint="eastAsia" w:ascii="宋体" w:hAnsi="宋体" w:cs="宋体"/>
          <w:szCs w:val="21"/>
        </w:rPr>
        <w:t>3、磋商程序顺利进行后，除供应商的原件可退回外，其余所有的响应文件都将作为档案保存，不论成交与否，代理机构均不退回。</w:t>
      </w:r>
    </w:p>
    <w:p>
      <w:pPr>
        <w:snapToGrid w:val="0"/>
        <w:spacing w:line="480" w:lineRule="exact"/>
        <w:ind w:firstLine="403" w:firstLineChars="192"/>
        <w:rPr>
          <w:rFonts w:ascii="宋体" w:hAnsi="宋体" w:cs="宋体"/>
          <w:szCs w:val="21"/>
        </w:rPr>
      </w:pPr>
      <w:r>
        <w:rPr>
          <w:rFonts w:hint="eastAsia" w:ascii="宋体" w:hAnsi="宋体" w:cs="宋体"/>
          <w:szCs w:val="21"/>
        </w:rPr>
        <w:t>4、无论磋商过程和结果如何，参加项目磋商的供应商自行承担与本次项目磋商有关的全部费用。</w:t>
      </w:r>
    </w:p>
    <w:p>
      <w:pPr>
        <w:snapToGrid w:val="0"/>
        <w:spacing w:line="360" w:lineRule="auto"/>
        <w:ind w:firstLine="434" w:firstLineChars="206"/>
        <w:outlineLvl w:val="1"/>
        <w:rPr>
          <w:rFonts w:ascii="宋体" w:hAnsi="宋体" w:cs="宋体"/>
          <w:b/>
          <w:bCs/>
          <w:szCs w:val="21"/>
        </w:rPr>
      </w:pPr>
    </w:p>
    <w:p>
      <w:pPr>
        <w:snapToGrid w:val="0"/>
        <w:spacing w:line="480" w:lineRule="exact"/>
        <w:ind w:firstLine="434" w:firstLineChars="206"/>
        <w:outlineLvl w:val="1"/>
        <w:rPr>
          <w:rFonts w:ascii="宋体" w:hAnsi="宋体" w:cs="宋体"/>
          <w:b/>
          <w:szCs w:val="21"/>
        </w:rPr>
      </w:pPr>
      <w:r>
        <w:rPr>
          <w:rFonts w:hint="eastAsia" w:ascii="宋体" w:hAnsi="宋体" w:cs="宋体"/>
          <w:b/>
          <w:szCs w:val="21"/>
        </w:rPr>
        <w:t>十、未尽事宜</w:t>
      </w:r>
    </w:p>
    <w:p>
      <w:pPr>
        <w:snapToGrid w:val="0"/>
        <w:spacing w:line="480" w:lineRule="exact"/>
        <w:ind w:firstLine="432" w:firstLineChars="206"/>
        <w:rPr>
          <w:rFonts w:ascii="宋体" w:hAnsi="宋体" w:cs="宋体"/>
          <w:szCs w:val="21"/>
        </w:rPr>
      </w:pPr>
      <w:r>
        <w:rPr>
          <w:rFonts w:hint="eastAsia" w:ascii="宋体" w:hAnsi="宋体" w:cs="宋体"/>
          <w:szCs w:val="21"/>
        </w:rPr>
        <w:t>按《中华人民共和国政府采购法》《政府采购竞争性磋商采购方式管理暂行办法》及其他有关法律法规的规定执行。</w:t>
      </w:r>
    </w:p>
    <w:p/>
    <w:p>
      <w:pPr>
        <w:pStyle w:val="5"/>
        <w:keepNext w:val="0"/>
        <w:keepLines w:val="0"/>
        <w:adjustRightInd w:val="0"/>
        <w:snapToGrid w:val="0"/>
        <w:spacing w:before="0" w:after="0" w:line="800" w:lineRule="exact"/>
        <w:jc w:val="center"/>
        <w:textAlignment w:val="baseline"/>
        <w:rPr>
          <w:rFonts w:ascii="宋体" w:hAnsi="宋体" w:eastAsia="宋体" w:cs="宋体"/>
          <w:w w:val="80"/>
          <w:szCs w:val="44"/>
        </w:rPr>
      </w:pPr>
      <w:bookmarkStart w:id="14" w:name="_Toc432763305"/>
    </w:p>
    <w:p>
      <w:pPr>
        <w:pStyle w:val="5"/>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w w:val="80"/>
          <w:szCs w:val="44"/>
        </w:rPr>
        <w:t>第三章  项目需求</w:t>
      </w:r>
      <w:bookmarkEnd w:id="14"/>
    </w:p>
    <w:p>
      <w:pPr>
        <w:widowControl/>
        <w:spacing w:line="360" w:lineRule="auto"/>
        <w:jc w:val="left"/>
        <w:rPr>
          <w:rFonts w:ascii="宋体" w:hAnsi="宋体" w:cs="宋体"/>
          <w:b/>
          <w:bCs/>
          <w:szCs w:val="21"/>
        </w:rPr>
      </w:pPr>
      <w:r>
        <w:rPr>
          <w:rFonts w:hint="eastAsia" w:ascii="宋体" w:hAnsi="宋体" w:cs="宋体"/>
          <w:b/>
          <w:bCs/>
          <w:szCs w:val="21"/>
        </w:rPr>
        <w:t>一、采购标的需实现的功能或者目标, 以及为落实政府采购政策需满足的要求</w:t>
      </w:r>
    </w:p>
    <w:p>
      <w:pPr>
        <w:pStyle w:val="19"/>
        <w:spacing w:line="360" w:lineRule="auto"/>
        <w:rPr>
          <w:rFonts w:cs="宋体"/>
          <w:kern w:val="2"/>
          <w:sz w:val="21"/>
          <w:szCs w:val="21"/>
        </w:rPr>
      </w:pPr>
      <w:r>
        <w:rPr>
          <w:rFonts w:hint="eastAsia" w:cs="宋体"/>
          <w:kern w:val="2"/>
          <w:sz w:val="21"/>
          <w:szCs w:val="21"/>
        </w:rPr>
        <w:t>为南通市人民检察院办案场所改造项目建设需要，采购家具一批，以满足办案场所各功能用房办公办案需要，项目估算12万元。</w:t>
      </w:r>
    </w:p>
    <w:p>
      <w:pPr>
        <w:pStyle w:val="19"/>
        <w:spacing w:line="360" w:lineRule="auto"/>
        <w:rPr>
          <w:rFonts w:cs="宋体"/>
          <w:kern w:val="2"/>
          <w:sz w:val="21"/>
          <w:szCs w:val="21"/>
        </w:rPr>
      </w:pPr>
      <w:r>
        <w:rPr>
          <w:rFonts w:hint="eastAsia" w:cs="宋体"/>
          <w:kern w:val="2"/>
          <w:sz w:val="21"/>
          <w:szCs w:val="21"/>
        </w:rPr>
        <w:t>特别提醒：</w:t>
      </w:r>
    </w:p>
    <w:p>
      <w:pPr>
        <w:widowControl/>
        <w:spacing w:line="360" w:lineRule="auto"/>
        <w:jc w:val="left"/>
        <w:rPr>
          <w:rFonts w:ascii="宋体" w:hAnsi="宋体" w:cs="宋体"/>
          <w:szCs w:val="21"/>
        </w:rPr>
      </w:pPr>
      <w:r>
        <w:rPr>
          <w:rFonts w:hint="eastAsia" w:ascii="宋体" w:hAnsi="宋体" w:cs="宋体"/>
          <w:b/>
          <w:bCs/>
          <w:szCs w:val="21"/>
        </w:rPr>
        <w:t>1、本项目须满足检察机关办案安全需要，所有讯问室、询问室、听证室、接待室、未成年谈话室家具边角均磨圆，不可露出尖锐的部分及金属部分；因现场需要而对家具进行的边角安全防范处理包括但不限于扪皮、软包、圆角等措施，由采购人根据实际场所需要而确定，成交供应商不得拒绝，且不另行支付费用；</w:t>
      </w:r>
    </w:p>
    <w:p>
      <w:pPr>
        <w:widowControl/>
        <w:spacing w:line="360" w:lineRule="auto"/>
        <w:jc w:val="left"/>
        <w:rPr>
          <w:rFonts w:ascii="宋体" w:hAnsi="宋体" w:cs="宋体"/>
          <w:szCs w:val="21"/>
        </w:rPr>
      </w:pPr>
      <w:r>
        <w:rPr>
          <w:rFonts w:hint="eastAsia" w:ascii="宋体" w:hAnsi="宋体" w:cs="宋体"/>
          <w:b/>
          <w:bCs/>
          <w:szCs w:val="21"/>
        </w:rPr>
        <w:t>2、因施工现场尺寸与采购家具列表中的家具尺寸不一致的，根据现场尺寸而进行调整，由此产生的费用不另行支付。</w:t>
      </w:r>
    </w:p>
    <w:p>
      <w:pPr>
        <w:widowControl/>
        <w:spacing w:line="360" w:lineRule="auto"/>
        <w:jc w:val="left"/>
        <w:rPr>
          <w:rFonts w:ascii="宋体" w:hAnsi="宋体" w:cs="宋体"/>
          <w:szCs w:val="21"/>
        </w:rPr>
      </w:pPr>
    </w:p>
    <w:p>
      <w:pPr>
        <w:numPr>
          <w:ilvl w:val="0"/>
          <w:numId w:val="3"/>
        </w:numPr>
        <w:spacing w:line="360" w:lineRule="auto"/>
        <w:rPr>
          <w:rFonts w:ascii="宋体" w:hAnsi="宋体" w:cs="宋体"/>
          <w:b/>
          <w:bCs/>
          <w:szCs w:val="21"/>
        </w:rPr>
      </w:pPr>
      <w:r>
        <w:rPr>
          <w:rFonts w:hint="eastAsia" w:ascii="宋体" w:hAnsi="宋体" w:cs="宋体"/>
          <w:b/>
          <w:bCs/>
          <w:szCs w:val="21"/>
        </w:rPr>
        <w:t>采购标的需执行的国家相关标准、行业标准、地方标准或者其他标准、规范</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1、家具的重要尺寸：</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GB/T3326-2016桌、椅、凳类；</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GB/T14532-2017办公家具木制柜、架；</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2、家具主要技术要求：</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GB/T3324-2017木制家具类；</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GB/T3325-2017金属家具类；</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3、漆膜理化性能：</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3.1木制件</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4893.1-2005家具表面耐冷液测定法；</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4893.2-2005家具表面耐湿热测定法；</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4893.3-2005家具表面耐干热测定法；</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4893.4-2013家具表面漆膜理化性能试验；</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4893.7-2013家具表面漆膜理化性能试验；</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4893.8-2013家具表面漆膜理化性能试验</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4893.9-2013家具表面漆膜理化性能试验；</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3.2金属件</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1732-1993漆膜耐冲击性测定法；</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1720-1979漆膜附着力测定法；</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22316-2008电镀锡钢板耐腐蚀性试验方法。</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3.3产品力学性能：</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10357.1-2013桌子强度及耐久性实验；</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10357.3-2013椅子强度及耐久性实验；</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10357.5-2011柜子强度及耐久性实验；</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10357.7-2013桌子稳定性；</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10357.2-2013椅子稳定性；</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GB/T 10357.4-2013柜子稳定性。</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4、环保及防火性能要求：</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家具整体性能符合GB 18584-2001的要求，重金属家具漆类甲醛含量应符合国家相关限量标准；</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5、投标人的产品其主材及配件等必须符合采购文件项目需求中的材质说明要求，材质说明中没有注明主材及配件品牌及产地的，投标人必须在投标文件上注明；</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6、磋商文件中的国家标准若有更新，以最新国标为准。</w:t>
      </w:r>
    </w:p>
    <w:p>
      <w:pPr>
        <w:widowControl/>
        <w:spacing w:line="360" w:lineRule="auto"/>
        <w:jc w:val="left"/>
        <w:rPr>
          <w:rFonts w:ascii="宋体" w:hAnsi="宋体" w:cs="宋体"/>
          <w:b/>
          <w:bCs/>
          <w:szCs w:val="21"/>
        </w:rPr>
      </w:pPr>
    </w:p>
    <w:p>
      <w:pPr>
        <w:numPr>
          <w:ilvl w:val="0"/>
          <w:numId w:val="3"/>
        </w:numPr>
        <w:spacing w:line="360" w:lineRule="auto"/>
        <w:rPr>
          <w:rFonts w:ascii="宋体" w:hAnsi="宋体" w:cs="宋体"/>
          <w:b/>
          <w:bCs/>
          <w:szCs w:val="21"/>
        </w:rPr>
      </w:pPr>
      <w:r>
        <w:rPr>
          <w:rFonts w:hint="eastAsia" w:ascii="宋体" w:hAnsi="宋体" w:cs="宋体"/>
          <w:b/>
          <w:bCs/>
          <w:szCs w:val="21"/>
        </w:rPr>
        <w:t>采购标的需满足的质量、安全、技术规格、物理特性等要求</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1、木制家具整体质量要求</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1.1 人造板制成的部件除内部隐蔽处外，均应进行封边处理，封边应严密、平整、不允许脱胶、表面有胶渍。</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人造板制品封边，采用激光封边机无缝封边，保证封边与板材质检无缝隙。</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1.2 采用进口机械热压工艺处理，薄木和其它材料覆面拼贴应严密、平整、不允许有脱胶、鼓泡、无裂纹、压痕和划伤。</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1.3 倒棱、圆角、圆线应均匀一致，榫及自装配拆装产品零件结合应牢固严密。</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1.4 家具安装完后，应检查所安装的质量是否合格，安装要符合以下规定：整体裁口顺直，饰面平整、光滑，无槌印，开闭灵活，严密无回弹、翘曲和变形，门扇和留缝企缝2毫米，上缝1.5毫米，下缝1.5—2毫米。</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1.5 木饰面：木纹一致，涂料颜色一致，表面平整、光滑，无裂缝，检查方法观察及手摸。</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木饰面整贴包覆工艺：木制家具班台，在表面木皮饰面时，采用木皮整贴包覆工艺，主台与边部一次包覆成型，保证台面、边部、封边转角部位等可视表面及端面，均由整片木皮连续压贴与包覆，中间木纹不中断。达到整体美观一致的效果。</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1.6 家具表面油漆</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1.6.1整件产品或同一立面同一颜色产品色泽应相似，产品表面漆膜不得有皱皮、发粘和漏漆现象，外露正视面（包括面板）涂层应平整光滑、清晰，漆膜实干后应无明显木孔沉陷。除设计要求纹理开放式油漆效果外，其他部位涂层手感应光滑，无粒子。漆膜应无加工痕迹、划痕、雾光、白楞、白点、鼓泡、泛白、流挂、缩孔、刷毛、积粉和杂渣。无鼓泡、裂缝和明显失光。</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1.6.2所有上色，油漆必须在封闭，无尘的环境中施工。</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1.6.3家具外露及内笼部分必须确定的色板上色做漆。</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1.6.4油漆表面防水，防酒精，耐磨，家具桌、台面油漆表面防烫，防水，防酒精，耐磨。</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1.6.5对于要求用水性漆涂饰的家具，要求水性漆在喷涂至家具上后，漆膜可以起到吸收室内空气中甲醛的效果。</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2、软体家具的工艺制作规范</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2.1 面料缝纫及外观要求：拼接面料图案应完整，面料应无明显色差，无残疵点，不允许有色污、油污、面料划伤。面料须经防静电、阻燃、防污处理。</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2.2 滚边应圆滑挺直，不允许有跳针、外露鞋钉，泡钉间距应基本相等，排列整齐，无松动脱落、明显敲扁、毛刺、脱漆。</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2.3 外露金属件安全性：外露金属配件安装应牢固，表面及边沿处应无明显毛刺和刃口。</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2.4 外部木制件工艺结构要求：结合处应无松动或断痕；木制对称部件的材质、台阶应匀称，对称部位应对称，车削线条应清晰，加工表面不得有崩茬、刀痕或砂痕。油漆要求参照上述木家具的油漆要求。座椅沙发木扶手严禁使用二段木材垂直拼接。</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2.5 内部框架用料要求：主要骨架部位须用实木料，联接处必须牢固，不得使用虫蛀、腐朽、节疤等木材，斜纹程度超过20％的不得使用。需经干燥防腐处理（含水率低于12％），不得使用昆虫尚在继续侵蚀的木材。</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2.6底座、背泡沫塑料密度：①用于座面泡沫塑料密度不低于25kg/m3；②用于其它部位泡沫塑料密度不低于20kg/m3。</w:t>
      </w:r>
    </w:p>
    <w:p>
      <w:pPr>
        <w:widowControl/>
        <w:spacing w:line="360" w:lineRule="auto"/>
        <w:jc w:val="left"/>
        <w:rPr>
          <w:rFonts w:ascii="宋体" w:hAnsi="宋体" w:cs="宋体"/>
          <w:b/>
          <w:bCs/>
          <w:szCs w:val="21"/>
        </w:rPr>
      </w:pPr>
    </w:p>
    <w:p>
      <w:pPr>
        <w:pStyle w:val="14"/>
        <w:numPr>
          <w:ilvl w:val="0"/>
          <w:numId w:val="3"/>
        </w:numPr>
        <w:snapToGrid w:val="0"/>
        <w:spacing w:before="120" w:after="120" w:line="360" w:lineRule="auto"/>
        <w:rPr>
          <w:rFonts w:hAnsi="宋体" w:cs="宋体"/>
          <w:b/>
          <w:bCs/>
          <w:szCs w:val="21"/>
        </w:rPr>
      </w:pPr>
      <w:r>
        <w:rPr>
          <w:rFonts w:hint="eastAsia" w:hAnsi="宋体" w:cs="宋体"/>
          <w:b/>
          <w:bCs/>
          <w:szCs w:val="21"/>
        </w:rPr>
        <w:t>采购标的数量、采购项目交付或者实施的时间和地点</w:t>
      </w:r>
    </w:p>
    <w:tbl>
      <w:tblPr>
        <w:tblStyle w:val="20"/>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2"/>
        <w:gridCol w:w="474"/>
        <w:gridCol w:w="791"/>
        <w:gridCol w:w="2610"/>
        <w:gridCol w:w="3390"/>
        <w:gridCol w:w="618"/>
        <w:gridCol w:w="626"/>
        <w:gridCol w:w="388"/>
        <w:gridCol w:w="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9675" w:type="dxa"/>
            <w:gridSpan w:val="9"/>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采购家具列表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392"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序号</w:t>
            </w:r>
          </w:p>
        </w:tc>
        <w:tc>
          <w:tcPr>
            <w:tcW w:w="474"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区域</w:t>
            </w:r>
          </w:p>
        </w:tc>
        <w:tc>
          <w:tcPr>
            <w:tcW w:w="791"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品名</w:t>
            </w:r>
          </w:p>
        </w:tc>
        <w:tc>
          <w:tcPr>
            <w:tcW w:w="2610"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图片</w:t>
            </w:r>
          </w:p>
        </w:tc>
        <w:tc>
          <w:tcPr>
            <w:tcW w:w="3390"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材质</w:t>
            </w:r>
          </w:p>
        </w:tc>
        <w:tc>
          <w:tcPr>
            <w:tcW w:w="618"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颜色</w:t>
            </w:r>
          </w:p>
        </w:tc>
        <w:tc>
          <w:tcPr>
            <w:tcW w:w="626"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尺寸</w:t>
            </w:r>
          </w:p>
        </w:tc>
        <w:tc>
          <w:tcPr>
            <w:tcW w:w="388"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数量</w:t>
            </w:r>
          </w:p>
        </w:tc>
        <w:tc>
          <w:tcPr>
            <w:tcW w:w="386" w:type="dxa"/>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74" w:type="dxa"/>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警务室</w:t>
            </w:r>
          </w:p>
        </w:tc>
        <w:tc>
          <w:tcPr>
            <w:tcW w:w="79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办公桌</w:t>
            </w:r>
          </w:p>
        </w:tc>
        <w:tc>
          <w:tcPr>
            <w:tcW w:w="26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shd w:val="clear" w:color="auto" w:fill="FFFFFF"/>
              </w:rPr>
              <w:drawing>
                <wp:anchor distT="0" distB="0" distL="114300" distR="114300" simplePos="0" relativeHeight="251652096" behindDoc="0" locked="0" layoutInCell="1" allowOverlap="1">
                  <wp:simplePos x="0" y="0"/>
                  <wp:positionH relativeFrom="column">
                    <wp:posOffset>78740</wp:posOffset>
                  </wp:positionH>
                  <wp:positionV relativeFrom="paragraph">
                    <wp:posOffset>639445</wp:posOffset>
                  </wp:positionV>
                  <wp:extent cx="1426210" cy="933450"/>
                  <wp:effectExtent l="0" t="0" r="2540" b="0"/>
                  <wp:wrapNone/>
                  <wp:docPr id="19" name="图片_4"/>
                  <wp:cNvGraphicFramePr/>
                  <a:graphic xmlns:a="http://schemas.openxmlformats.org/drawingml/2006/main">
                    <a:graphicData uri="http://schemas.openxmlformats.org/drawingml/2006/picture">
                      <pic:pic xmlns:pic="http://schemas.openxmlformats.org/drawingml/2006/picture">
                        <pic:nvPicPr>
                          <pic:cNvPr id="19" name="图片_4"/>
                          <pic:cNvPicPr/>
                        </pic:nvPicPr>
                        <pic:blipFill>
                          <a:blip r:embed="rId8"/>
                          <a:stretch>
                            <a:fillRect/>
                          </a:stretch>
                        </pic:blipFill>
                        <pic:spPr>
                          <a:xfrm>
                            <a:off x="0" y="0"/>
                            <a:ext cx="1426210" cy="933450"/>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4、下部采用优质加粗钢架。五金配件（包括锁具、铰链及导轨等）：DTC、美顿、百隆等品牌或同等档次品牌连接件。</w:t>
            </w:r>
          </w:p>
        </w:tc>
        <w:tc>
          <w:tcPr>
            <w:tcW w:w="61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新胡桃色</w:t>
            </w:r>
          </w:p>
        </w:tc>
        <w:tc>
          <w:tcPr>
            <w:tcW w:w="62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1600*800*760</w:t>
            </w:r>
          </w:p>
        </w:tc>
        <w:tc>
          <w:tcPr>
            <w:tcW w:w="388" w:type="dxa"/>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bidi="ar"/>
              </w:rPr>
              <w:t>2</w:t>
            </w:r>
          </w:p>
        </w:tc>
        <w:tc>
          <w:tcPr>
            <w:tcW w:w="38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74" w:type="dxa"/>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大厅</w:t>
            </w:r>
          </w:p>
        </w:tc>
        <w:tc>
          <w:tcPr>
            <w:tcW w:w="79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办公桌</w:t>
            </w:r>
          </w:p>
        </w:tc>
        <w:tc>
          <w:tcPr>
            <w:tcW w:w="26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shd w:val="clear" w:color="auto" w:fill="FFFFFF"/>
              </w:rPr>
              <w:drawing>
                <wp:anchor distT="0" distB="0" distL="114300" distR="114300" simplePos="0" relativeHeight="251658240" behindDoc="0" locked="0" layoutInCell="1" allowOverlap="1">
                  <wp:simplePos x="0" y="0"/>
                  <wp:positionH relativeFrom="column">
                    <wp:posOffset>78740</wp:posOffset>
                  </wp:positionH>
                  <wp:positionV relativeFrom="paragraph">
                    <wp:posOffset>639445</wp:posOffset>
                  </wp:positionV>
                  <wp:extent cx="1426210" cy="933450"/>
                  <wp:effectExtent l="0" t="0" r="2540" b="0"/>
                  <wp:wrapNone/>
                  <wp:docPr id="1" name="图片_4"/>
                  <wp:cNvGraphicFramePr/>
                  <a:graphic xmlns:a="http://schemas.openxmlformats.org/drawingml/2006/main">
                    <a:graphicData uri="http://schemas.openxmlformats.org/drawingml/2006/picture">
                      <pic:pic xmlns:pic="http://schemas.openxmlformats.org/drawingml/2006/picture">
                        <pic:nvPicPr>
                          <pic:cNvPr id="1" name="图片_4"/>
                          <pic:cNvPicPr/>
                        </pic:nvPicPr>
                        <pic:blipFill>
                          <a:blip r:embed="rId8"/>
                          <a:stretch>
                            <a:fillRect/>
                          </a:stretch>
                        </pic:blipFill>
                        <pic:spPr>
                          <a:xfrm>
                            <a:off x="0" y="0"/>
                            <a:ext cx="1426210" cy="933450"/>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4、下部采用优质加粗钢架。五金配件（包括锁具、铰链及导轨等）：DTC、美顿、百隆等品牌或同等档次品牌连接件。</w:t>
            </w:r>
          </w:p>
        </w:tc>
        <w:tc>
          <w:tcPr>
            <w:tcW w:w="61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新胡桃色</w:t>
            </w:r>
          </w:p>
        </w:tc>
        <w:tc>
          <w:tcPr>
            <w:tcW w:w="62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1</w:t>
            </w:r>
            <w:r>
              <w:rPr>
                <w:rFonts w:hint="eastAsia" w:ascii="宋体" w:hAnsi="宋体" w:cs="宋体"/>
                <w:color w:val="000000"/>
                <w:kern w:val="0"/>
                <w:sz w:val="18"/>
                <w:szCs w:val="18"/>
                <w:lang w:val="en-US" w:eastAsia="zh-CN" w:bidi="ar"/>
              </w:rPr>
              <w:t>4</w:t>
            </w:r>
            <w:r>
              <w:rPr>
                <w:rFonts w:hint="eastAsia" w:ascii="宋体" w:hAnsi="宋体" w:cs="宋体"/>
                <w:color w:val="000000"/>
                <w:kern w:val="0"/>
                <w:sz w:val="18"/>
                <w:szCs w:val="18"/>
                <w:lang w:bidi="ar"/>
              </w:rPr>
              <w:t>00*</w:t>
            </w:r>
            <w:r>
              <w:rPr>
                <w:rFonts w:hint="eastAsia" w:ascii="宋体" w:hAnsi="宋体" w:cs="宋体"/>
                <w:color w:val="000000"/>
                <w:kern w:val="0"/>
                <w:sz w:val="18"/>
                <w:szCs w:val="18"/>
                <w:lang w:val="en-US" w:eastAsia="zh-CN" w:bidi="ar"/>
              </w:rPr>
              <w:t>7</w:t>
            </w:r>
            <w:r>
              <w:rPr>
                <w:rFonts w:hint="eastAsia" w:ascii="宋体" w:hAnsi="宋体" w:cs="宋体"/>
                <w:color w:val="000000"/>
                <w:kern w:val="0"/>
                <w:sz w:val="18"/>
                <w:szCs w:val="18"/>
                <w:lang w:bidi="ar"/>
              </w:rPr>
              <w:t>00*760</w:t>
            </w:r>
          </w:p>
        </w:tc>
        <w:tc>
          <w:tcPr>
            <w:tcW w:w="388" w:type="dxa"/>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bidi="ar"/>
              </w:rPr>
              <w:t>4</w:t>
            </w:r>
          </w:p>
        </w:tc>
        <w:tc>
          <w:tcPr>
            <w:tcW w:w="38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474" w:type="dxa"/>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9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办公椅</w:t>
            </w:r>
          </w:p>
        </w:tc>
        <w:tc>
          <w:tcPr>
            <w:tcW w:w="26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3390" w:type="dxa"/>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★1、饰面：采用优质西皮，厚度1.1mm，皮革面料的干摩擦牢度≥4级，皮革涂层粘着牢度≥3.0N/10mm，可分解芳香胺未检出，皮革PH值4.0~6.0；经液氨多道浸色及防潮、防腐等工艺处理，不但使皮面更加柔软</w:t>
            </w:r>
            <w:r>
              <w:rPr>
                <w:rFonts w:hint="eastAsia" w:ascii="宋体" w:hAnsi="宋体" w:cs="宋体"/>
                <w:color w:val="000000"/>
                <w:kern w:val="0"/>
                <w:sz w:val="18"/>
                <w:szCs w:val="18"/>
                <w:bdr w:val="single" w:color="000000" w:sz="4" w:space="0"/>
                <w:shd w:val="clear" w:color="auto" w:fill="FFFFFF"/>
              </w:rPr>
              <w:drawing>
                <wp:anchor distT="0" distB="0" distL="114300" distR="114300" simplePos="0" relativeHeight="251653120" behindDoc="0" locked="0" layoutInCell="1" allowOverlap="1">
                  <wp:simplePos x="0" y="0"/>
                  <wp:positionH relativeFrom="column">
                    <wp:posOffset>-1463040</wp:posOffset>
                  </wp:positionH>
                  <wp:positionV relativeFrom="paragraph">
                    <wp:posOffset>114300</wp:posOffset>
                  </wp:positionV>
                  <wp:extent cx="949960" cy="1245870"/>
                  <wp:effectExtent l="0" t="0" r="2540" b="11430"/>
                  <wp:wrapNone/>
                  <wp:docPr id="16" name="图片_4_SpCnt_1"/>
                  <wp:cNvGraphicFramePr/>
                  <a:graphic xmlns:a="http://schemas.openxmlformats.org/drawingml/2006/main">
                    <a:graphicData uri="http://schemas.openxmlformats.org/drawingml/2006/picture">
                      <pic:pic xmlns:pic="http://schemas.openxmlformats.org/drawingml/2006/picture">
                        <pic:nvPicPr>
                          <pic:cNvPr id="16" name="图片_4_SpCnt_1"/>
                          <pic:cNvPicPr/>
                        </pic:nvPicPr>
                        <pic:blipFill>
                          <a:blip r:embed="rId9"/>
                          <a:stretch>
                            <a:fillRect/>
                          </a:stretch>
                        </pic:blipFill>
                        <pic:spPr>
                          <a:xfrm>
                            <a:off x="0" y="0"/>
                            <a:ext cx="949960" cy="1245870"/>
                          </a:xfrm>
                          <a:prstGeom prst="rect">
                            <a:avLst/>
                          </a:prstGeom>
                          <a:noFill/>
                          <a:ln>
                            <a:noFill/>
                          </a:ln>
                        </pic:spPr>
                      </pic:pic>
                    </a:graphicData>
                  </a:graphic>
                </wp:anchor>
              </w:drawing>
            </w:r>
            <w:r>
              <w:rPr>
                <w:rFonts w:hint="eastAsia" w:ascii="宋体" w:hAnsi="宋体" w:cs="宋体"/>
                <w:color w:val="000000"/>
                <w:kern w:val="0"/>
                <w:sz w:val="18"/>
                <w:szCs w:val="18"/>
                <w:lang w:bidi="ar"/>
              </w:rPr>
              <w:t>舒适，光彩夺目，光泽持久，而且透气性、韧性等理化指标更胜一筹。选用多层强力拉筋包背，具有回力好，经久耐用的优点，用进口的高速衣车及粗线车制皮套，直接包面，沉稳舒适；</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★2、海绵：采用“圣诺盟东亚”高密度定型海绵，密度为≥40kg/m³，回弹性能≥43%，压缩永久变形≤4.2%；理化性能符合国家现行标准。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★3、气压棒：采用韩国“三弘”或同档次及以上品牌气压棒，镀层本身的耐腐蚀等级≥9级，镀层对基材的保护等级≥9级。</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★4、E0级曲木板，以高频热压机加压成型多层曲木板，更符合人体工效学，坐感具佳，做防腐防虫化学处理，含水率≤10%。</w:t>
            </w:r>
          </w:p>
        </w:tc>
        <w:tc>
          <w:tcPr>
            <w:tcW w:w="61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黑色</w:t>
            </w:r>
          </w:p>
        </w:tc>
        <w:tc>
          <w:tcPr>
            <w:tcW w:w="62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630W*650D*1040H</w:t>
            </w:r>
          </w:p>
        </w:tc>
        <w:tc>
          <w:tcPr>
            <w:tcW w:w="38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38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7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视频会议室</w:t>
            </w:r>
          </w:p>
        </w:tc>
        <w:tc>
          <w:tcPr>
            <w:tcW w:w="79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视频会议条桌</w:t>
            </w:r>
          </w:p>
        </w:tc>
        <w:tc>
          <w:tcPr>
            <w:tcW w:w="26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54144" behindDoc="0" locked="0" layoutInCell="1" allowOverlap="1">
                  <wp:simplePos x="0" y="0"/>
                  <wp:positionH relativeFrom="column">
                    <wp:posOffset>55245</wp:posOffset>
                  </wp:positionH>
                  <wp:positionV relativeFrom="paragraph">
                    <wp:posOffset>751840</wp:posOffset>
                  </wp:positionV>
                  <wp:extent cx="1421130" cy="982345"/>
                  <wp:effectExtent l="0" t="0" r="7620" b="8255"/>
                  <wp:wrapNone/>
                  <wp:docPr id="14" name="图片_16"/>
                  <wp:cNvGraphicFramePr/>
                  <a:graphic xmlns:a="http://schemas.openxmlformats.org/drawingml/2006/main">
                    <a:graphicData uri="http://schemas.openxmlformats.org/drawingml/2006/picture">
                      <pic:pic xmlns:pic="http://schemas.openxmlformats.org/drawingml/2006/picture">
                        <pic:nvPicPr>
                          <pic:cNvPr id="14" name="图片_16"/>
                          <pic:cNvPicPr/>
                        </pic:nvPicPr>
                        <pic:blipFill>
                          <a:blip r:embed="rId10"/>
                          <a:stretch>
                            <a:fillRect/>
                          </a:stretch>
                        </pic:blipFill>
                        <pic:spPr>
                          <a:xfrm>
                            <a:off x="0" y="0"/>
                            <a:ext cx="1421130" cy="982345"/>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1、贴面材料：采用进口实木皮,可采用美国大西洋牌胡桃高级木皮，实木皮饰面，厚度0.6mm；桌面厚度25mm，其余板材为18mm。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4、五金配件（包括锁具、铰链及导轨等）：DTC、美顿、百隆等品牌或同等档次品牌连接件。。</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新胡桃色</w:t>
            </w:r>
          </w:p>
        </w:tc>
        <w:tc>
          <w:tcPr>
            <w:tcW w:w="6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1800*400*750</w:t>
            </w:r>
          </w:p>
        </w:tc>
        <w:tc>
          <w:tcPr>
            <w:tcW w:w="38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74"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91" w:type="dxa"/>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26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55168" behindDoc="0" locked="0" layoutInCell="1" allowOverlap="1">
                  <wp:simplePos x="0" y="0"/>
                  <wp:positionH relativeFrom="column">
                    <wp:posOffset>19050</wp:posOffset>
                  </wp:positionH>
                  <wp:positionV relativeFrom="paragraph">
                    <wp:posOffset>705485</wp:posOffset>
                  </wp:positionV>
                  <wp:extent cx="1609725" cy="781685"/>
                  <wp:effectExtent l="0" t="0" r="9525" b="18415"/>
                  <wp:wrapNone/>
                  <wp:docPr id="21" name="图片_15"/>
                  <wp:cNvGraphicFramePr/>
                  <a:graphic xmlns:a="http://schemas.openxmlformats.org/drawingml/2006/main">
                    <a:graphicData uri="http://schemas.openxmlformats.org/drawingml/2006/picture">
                      <pic:pic xmlns:pic="http://schemas.openxmlformats.org/drawingml/2006/picture">
                        <pic:nvPicPr>
                          <pic:cNvPr id="21" name="图片_15"/>
                          <pic:cNvPicPr/>
                        </pic:nvPicPr>
                        <pic:blipFill>
                          <a:blip r:embed="rId11"/>
                          <a:stretch>
                            <a:fillRect/>
                          </a:stretch>
                        </pic:blipFill>
                        <pic:spPr>
                          <a:xfrm>
                            <a:off x="0" y="0"/>
                            <a:ext cx="1609725" cy="781685"/>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1、贴面材料：采用进口实木皮,可采用美国大西洋牌胡桃高级木皮，实木皮饰面，厚度0.6mm；桌面厚度25mm，其余板材为18mm。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4、五金配件（包括锁具、铰链及导轨等）：DTC、美顿、百隆等品牌或同等档次品牌连接件。</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新胡桃色</w:t>
            </w:r>
          </w:p>
        </w:tc>
        <w:tc>
          <w:tcPr>
            <w:tcW w:w="62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3200*1490*750</w:t>
            </w:r>
          </w:p>
        </w:tc>
        <w:tc>
          <w:tcPr>
            <w:tcW w:w="38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8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474"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9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茶水柜</w:t>
            </w:r>
          </w:p>
        </w:tc>
        <w:tc>
          <w:tcPr>
            <w:tcW w:w="26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56192" behindDoc="0" locked="0" layoutInCell="1" allowOverlap="1">
                  <wp:simplePos x="0" y="0"/>
                  <wp:positionH relativeFrom="column">
                    <wp:posOffset>285115</wp:posOffset>
                  </wp:positionH>
                  <wp:positionV relativeFrom="paragraph">
                    <wp:posOffset>631190</wp:posOffset>
                  </wp:positionV>
                  <wp:extent cx="1129665" cy="1060450"/>
                  <wp:effectExtent l="0" t="0" r="13335" b="6350"/>
                  <wp:wrapNone/>
                  <wp:docPr id="22" name="图片_2"/>
                  <wp:cNvGraphicFramePr/>
                  <a:graphic xmlns:a="http://schemas.openxmlformats.org/drawingml/2006/main">
                    <a:graphicData uri="http://schemas.openxmlformats.org/drawingml/2006/picture">
                      <pic:pic xmlns:pic="http://schemas.openxmlformats.org/drawingml/2006/picture">
                        <pic:nvPicPr>
                          <pic:cNvPr id="22" name="图片_2"/>
                          <pic:cNvPicPr/>
                        </pic:nvPicPr>
                        <pic:blipFill>
                          <a:blip r:embed="rId12"/>
                          <a:stretch>
                            <a:fillRect/>
                          </a:stretch>
                        </pic:blipFill>
                        <pic:spPr>
                          <a:xfrm>
                            <a:off x="0" y="0"/>
                            <a:ext cx="1129665" cy="1060450"/>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1、贴面材料：采用进口实木皮,可采用美国大西洋牌胡桃高级木皮，实木皮饰面，厚度0.6mm；桌面厚度25mm，其余板材为18mm。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4、五金配件（包括锁具、铰链及导轨等）：DTC、美顿、百隆等品牌或同等档次品牌连接件。</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新胡桃色</w:t>
            </w:r>
          </w:p>
        </w:tc>
        <w:tc>
          <w:tcPr>
            <w:tcW w:w="6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800*400*850</w:t>
            </w:r>
          </w:p>
        </w:tc>
        <w:tc>
          <w:tcPr>
            <w:tcW w:w="38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474"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9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办公椅</w:t>
            </w:r>
          </w:p>
        </w:tc>
        <w:tc>
          <w:tcPr>
            <w:tcW w:w="26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57216" behindDoc="0" locked="0" layoutInCell="1" allowOverlap="1">
                  <wp:simplePos x="0" y="0"/>
                  <wp:positionH relativeFrom="column">
                    <wp:posOffset>422910</wp:posOffset>
                  </wp:positionH>
                  <wp:positionV relativeFrom="paragraph">
                    <wp:posOffset>1046480</wp:posOffset>
                  </wp:positionV>
                  <wp:extent cx="832485" cy="1082040"/>
                  <wp:effectExtent l="0" t="0" r="5715" b="3810"/>
                  <wp:wrapNone/>
                  <wp:docPr id="15" name="图片_30"/>
                  <wp:cNvGraphicFramePr/>
                  <a:graphic xmlns:a="http://schemas.openxmlformats.org/drawingml/2006/main">
                    <a:graphicData uri="http://schemas.openxmlformats.org/drawingml/2006/picture">
                      <pic:pic xmlns:pic="http://schemas.openxmlformats.org/drawingml/2006/picture">
                        <pic:nvPicPr>
                          <pic:cNvPr id="15" name="图片_30"/>
                          <pic:cNvPicPr/>
                        </pic:nvPicPr>
                        <pic:blipFill>
                          <a:blip r:embed="rId13"/>
                          <a:stretch>
                            <a:fillRect/>
                          </a:stretch>
                        </pic:blipFill>
                        <pic:spPr>
                          <a:xfrm>
                            <a:off x="0" y="0"/>
                            <a:ext cx="832485" cy="1082040"/>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饰面：采用优质西皮，厚度1.1mm，皮革面料的干摩擦牢度≥4级，皮革涂层粘着牢度≥3.0N/10mm，可分解芳香胺未检出，皮革PH值4.0~6.0；经液氨多道浸色及防潮、防腐等工艺处理，不但使皮面更加柔软舒适，光彩夺目，光泽持久，而且透气性、韧性等理化指标更胜一筹。选用多层强力拉筋包背，具有回力好，经久耐用的优点，用进口的高速衣车及粗线车制皮套，直接包面，沉稳舒适；</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★2、海绵：采用“圣诺盟东亚”高密度定型海绵，密度为≥40kg/m³，回弹性能≥43%，压缩永久变形≤4.2%；理化性能符合国家现行标准。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★3、脚架为全实木橡木具有硬度高，密度大，承受力强，选材无结疤，腐朽等现象。</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黑色</w:t>
            </w:r>
          </w:p>
        </w:tc>
        <w:tc>
          <w:tcPr>
            <w:tcW w:w="6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630W*640D*1020H</w:t>
            </w:r>
          </w:p>
        </w:tc>
        <w:tc>
          <w:tcPr>
            <w:tcW w:w="38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47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远程庭审</w:t>
            </w:r>
          </w:p>
        </w:tc>
        <w:tc>
          <w:tcPr>
            <w:tcW w:w="79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审判桌</w:t>
            </w:r>
          </w:p>
        </w:tc>
        <w:tc>
          <w:tcPr>
            <w:tcW w:w="26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58240" behindDoc="0" locked="0" layoutInCell="1" allowOverlap="1">
                  <wp:simplePos x="0" y="0"/>
                  <wp:positionH relativeFrom="column">
                    <wp:posOffset>3175</wp:posOffset>
                  </wp:positionH>
                  <wp:positionV relativeFrom="paragraph">
                    <wp:posOffset>782955</wp:posOffset>
                  </wp:positionV>
                  <wp:extent cx="1598930" cy="1135380"/>
                  <wp:effectExtent l="0" t="0" r="1270" b="7620"/>
                  <wp:wrapNone/>
                  <wp:docPr id="17" name="图片_3"/>
                  <wp:cNvGraphicFramePr/>
                  <a:graphic xmlns:a="http://schemas.openxmlformats.org/drawingml/2006/main">
                    <a:graphicData uri="http://schemas.openxmlformats.org/drawingml/2006/picture">
                      <pic:pic xmlns:pic="http://schemas.openxmlformats.org/drawingml/2006/picture">
                        <pic:nvPicPr>
                          <pic:cNvPr id="17" name="图片_3"/>
                          <pic:cNvPicPr/>
                        </pic:nvPicPr>
                        <pic:blipFill>
                          <a:blip r:embed="rId14"/>
                          <a:stretch>
                            <a:fillRect/>
                          </a:stretch>
                        </pic:blipFill>
                        <pic:spPr>
                          <a:xfrm>
                            <a:off x="0" y="0"/>
                            <a:ext cx="1598930" cy="1135380"/>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4、油漆：面漆采用“大宝”PU聚脂漆,底漆采用PE不饱和树脂漆，符合欧洲环保要求。</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新胡桃色</w:t>
            </w:r>
          </w:p>
        </w:tc>
        <w:tc>
          <w:tcPr>
            <w:tcW w:w="62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3000*900（850）*900</w:t>
            </w:r>
          </w:p>
        </w:tc>
        <w:tc>
          <w:tcPr>
            <w:tcW w:w="38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474"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9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审判椅</w:t>
            </w:r>
          </w:p>
        </w:tc>
        <w:tc>
          <w:tcPr>
            <w:tcW w:w="2610" w:type="dxa"/>
            <w:shd w:val="clear" w:color="auto" w:fill="auto"/>
            <w:noWrap/>
            <w:tcMar>
              <w:top w:w="15" w:type="dxa"/>
              <w:left w:w="15" w:type="dxa"/>
              <w:right w:w="15" w:type="dxa"/>
            </w:tcMar>
            <w:vAlign w:val="bottom"/>
          </w:tcPr>
          <w:p>
            <w:pPr>
              <w:widowControl/>
              <w:jc w:val="left"/>
              <w:textAlignment w:val="bottom"/>
              <w:rPr>
                <w:rFonts w:ascii="宋体" w:hAnsi="宋体" w:cs="宋体"/>
                <w:color w:val="000000"/>
                <w:sz w:val="18"/>
                <w:szCs w:val="18"/>
              </w:rPr>
            </w:pP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★1、饰面：采用进口全牛皮，厚度1.1mm，皮革面料的干摩擦牢度≥4级，皮革涂层粘</w:t>
            </w:r>
            <w:r>
              <w:rPr>
                <w:rFonts w:hint="eastAsia" w:ascii="宋体" w:hAnsi="宋体" w:cs="宋体"/>
                <w:color w:val="000000"/>
                <w:kern w:val="0"/>
                <w:sz w:val="18"/>
                <w:szCs w:val="18"/>
                <w:bdr w:val="single" w:color="000000" w:sz="4" w:space="0"/>
              </w:rPr>
              <w:drawing>
                <wp:anchor distT="0" distB="0" distL="114300" distR="114300" simplePos="0" relativeHeight="251658240" behindDoc="0" locked="0" layoutInCell="1" allowOverlap="1">
                  <wp:simplePos x="0" y="0"/>
                  <wp:positionH relativeFrom="column">
                    <wp:posOffset>-1065530</wp:posOffset>
                  </wp:positionH>
                  <wp:positionV relativeFrom="paragraph">
                    <wp:posOffset>-14605</wp:posOffset>
                  </wp:positionV>
                  <wp:extent cx="612775" cy="1156970"/>
                  <wp:effectExtent l="0" t="0" r="15875" b="5080"/>
                  <wp:wrapNone/>
                  <wp:docPr id="23" name="图片_4_SpCnt_2"/>
                  <wp:cNvGraphicFramePr/>
                  <a:graphic xmlns:a="http://schemas.openxmlformats.org/drawingml/2006/main">
                    <a:graphicData uri="http://schemas.openxmlformats.org/drawingml/2006/picture">
                      <pic:pic xmlns:pic="http://schemas.openxmlformats.org/drawingml/2006/picture">
                        <pic:nvPicPr>
                          <pic:cNvPr id="23" name="图片_4_SpCnt_2"/>
                          <pic:cNvPicPr/>
                        </pic:nvPicPr>
                        <pic:blipFill>
                          <a:blip r:embed="rId15"/>
                          <a:stretch>
                            <a:fillRect/>
                          </a:stretch>
                        </pic:blipFill>
                        <pic:spPr>
                          <a:xfrm>
                            <a:off x="0" y="0"/>
                            <a:ext cx="612775" cy="1156970"/>
                          </a:xfrm>
                          <a:prstGeom prst="rect">
                            <a:avLst/>
                          </a:prstGeom>
                          <a:noFill/>
                          <a:ln>
                            <a:noFill/>
                          </a:ln>
                        </pic:spPr>
                      </pic:pic>
                    </a:graphicData>
                  </a:graphic>
                </wp:anchor>
              </w:drawing>
            </w:r>
            <w:r>
              <w:rPr>
                <w:rFonts w:hint="eastAsia" w:ascii="宋体" w:hAnsi="宋体" w:cs="宋体"/>
                <w:color w:val="000000"/>
                <w:kern w:val="0"/>
                <w:sz w:val="18"/>
                <w:szCs w:val="18"/>
                <w:lang w:bidi="ar"/>
              </w:rPr>
              <w:t>着牢度≥3.0N/10mm，可分解芳香胺未检出，皮革PH值4.0~6.0；经液氨多道浸色及防潮、防腐等工艺处理，不但使皮面更加柔软舒适，光彩夺目，光泽持久，而且透气性、韧性等理化指标更胜一筹。选用多层强力拉筋包背，具有回力好，经久耐用的优点，用进口的高速衣车及粗线车制皮套，直接包面，沉稳舒适；</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★2、海绵：采用“圣诺盟东亚”高密度定型海绵，密度为≥40kg/m³，回弹性能≥43%，压缩永久变形≤4.2%；理化性能符合国家现行标准。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★3、脚架为全实木橡木具有硬度高，密度大，承受力强，选材无结疤，腐朽等现象。</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黑色</w:t>
            </w:r>
          </w:p>
        </w:tc>
        <w:tc>
          <w:tcPr>
            <w:tcW w:w="6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680W*600D*1600H</w:t>
            </w:r>
          </w:p>
        </w:tc>
        <w:tc>
          <w:tcPr>
            <w:tcW w:w="38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47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远程提审</w:t>
            </w:r>
          </w:p>
        </w:tc>
        <w:tc>
          <w:tcPr>
            <w:tcW w:w="79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提审</w:t>
            </w:r>
            <w:r>
              <w:rPr>
                <w:rFonts w:hint="eastAsia" w:ascii="宋体" w:hAnsi="宋体" w:cs="宋体"/>
                <w:color w:val="000000"/>
                <w:kern w:val="0"/>
                <w:sz w:val="18"/>
                <w:szCs w:val="18"/>
                <w:lang w:bidi="ar"/>
              </w:rPr>
              <w:t>桌（提供样品）</w:t>
            </w:r>
          </w:p>
        </w:tc>
        <w:tc>
          <w:tcPr>
            <w:tcW w:w="26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59264" behindDoc="0" locked="0" layoutInCell="1" allowOverlap="1">
                  <wp:simplePos x="0" y="0"/>
                  <wp:positionH relativeFrom="column">
                    <wp:posOffset>66040</wp:posOffset>
                  </wp:positionH>
                  <wp:positionV relativeFrom="paragraph">
                    <wp:posOffset>761365</wp:posOffset>
                  </wp:positionV>
                  <wp:extent cx="1466215" cy="907415"/>
                  <wp:effectExtent l="0" t="0" r="635" b="6985"/>
                  <wp:wrapNone/>
                  <wp:docPr id="26" name="图片_3_SpCnt_1"/>
                  <wp:cNvGraphicFramePr/>
                  <a:graphic xmlns:a="http://schemas.openxmlformats.org/drawingml/2006/main">
                    <a:graphicData uri="http://schemas.openxmlformats.org/drawingml/2006/picture">
                      <pic:pic xmlns:pic="http://schemas.openxmlformats.org/drawingml/2006/picture">
                        <pic:nvPicPr>
                          <pic:cNvPr id="26" name="图片_3_SpCnt_1"/>
                          <pic:cNvPicPr/>
                        </pic:nvPicPr>
                        <pic:blipFill>
                          <a:blip r:embed="rId6"/>
                          <a:stretch>
                            <a:fillRect/>
                          </a:stretch>
                        </pic:blipFill>
                        <pic:spPr>
                          <a:xfrm>
                            <a:off x="0" y="0"/>
                            <a:ext cx="1466215" cy="907415"/>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4、油漆：面漆采用“大宝”PU聚脂漆,底漆采用PE不饱和树脂漆，符合欧洲环保要求。</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新胡桃色</w:t>
            </w:r>
          </w:p>
        </w:tc>
        <w:tc>
          <w:tcPr>
            <w:tcW w:w="62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3000*900（850）*900</w:t>
            </w:r>
          </w:p>
        </w:tc>
        <w:tc>
          <w:tcPr>
            <w:tcW w:w="38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474"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9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提审椅</w:t>
            </w:r>
            <w:r>
              <w:rPr>
                <w:rFonts w:hint="eastAsia" w:ascii="宋体" w:hAnsi="宋体" w:cs="宋体"/>
                <w:color w:val="000000"/>
                <w:kern w:val="0"/>
                <w:sz w:val="18"/>
                <w:szCs w:val="18"/>
                <w:lang w:bidi="ar"/>
              </w:rPr>
              <w:t>（提供样品）</w:t>
            </w:r>
          </w:p>
        </w:tc>
        <w:tc>
          <w:tcPr>
            <w:tcW w:w="2610" w:type="dxa"/>
            <w:shd w:val="clear" w:color="auto" w:fill="auto"/>
            <w:noWrap/>
            <w:tcMar>
              <w:top w:w="15" w:type="dxa"/>
              <w:left w:w="15" w:type="dxa"/>
              <w:right w:w="15" w:type="dxa"/>
            </w:tcMar>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60288" behindDoc="0" locked="0" layoutInCell="1" allowOverlap="1">
                  <wp:simplePos x="0" y="0"/>
                  <wp:positionH relativeFrom="column">
                    <wp:posOffset>556895</wp:posOffset>
                  </wp:positionH>
                  <wp:positionV relativeFrom="paragraph">
                    <wp:posOffset>1085850</wp:posOffset>
                  </wp:positionV>
                  <wp:extent cx="608330" cy="1136015"/>
                  <wp:effectExtent l="0" t="0" r="1270" b="6985"/>
                  <wp:wrapNone/>
                  <wp:docPr id="18" name="图片_5"/>
                  <wp:cNvGraphicFramePr/>
                  <a:graphic xmlns:a="http://schemas.openxmlformats.org/drawingml/2006/main">
                    <a:graphicData uri="http://schemas.openxmlformats.org/drawingml/2006/picture">
                      <pic:pic xmlns:pic="http://schemas.openxmlformats.org/drawingml/2006/picture">
                        <pic:nvPicPr>
                          <pic:cNvPr id="18" name="图片_5"/>
                          <pic:cNvPicPr/>
                        </pic:nvPicPr>
                        <pic:blipFill>
                          <a:blip r:embed="rId7"/>
                          <a:stretch>
                            <a:fillRect/>
                          </a:stretch>
                        </pic:blipFill>
                        <pic:spPr>
                          <a:xfrm>
                            <a:off x="0" y="0"/>
                            <a:ext cx="608330" cy="1136015"/>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饰面：采用进口全牛皮，厚度1.1mm，皮革面料的干摩擦牢度≥4级，皮革涂层粘着牢度≥3.0N/10mm，可分解芳香胺未检出，皮革PH值4.0~6.0；经液氨多道浸色及防潮、防腐等工艺处理，不但使皮面更加柔软舒适，光彩夺目，光泽持久，而且透气性、韧性等理化指标更胜一筹。选用多层强力拉筋包背，具有回力好，经久耐用的优点，用进口的高速衣车及粗线车制皮套，直接包面，沉稳舒适；</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★2、海绵：采用“圣诺盟东亚”高密度定型海绵，密度为≥40kg/m³，回弹性能≥43%，压缩永久变形≤4.2%；理化性能符合国家现行标准。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★3、脚架为全实木橡木具有硬度高，密度大，承受力强，选材无结疤，腐朽等现象。</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黑色</w:t>
            </w:r>
          </w:p>
        </w:tc>
        <w:tc>
          <w:tcPr>
            <w:tcW w:w="6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680W*600D*1600H</w:t>
            </w:r>
          </w:p>
        </w:tc>
        <w:tc>
          <w:tcPr>
            <w:tcW w:w="38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474"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指挥中心</w:t>
            </w:r>
          </w:p>
        </w:tc>
        <w:tc>
          <w:tcPr>
            <w:tcW w:w="791"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视频桌</w:t>
            </w:r>
            <w:r>
              <w:rPr>
                <w:rFonts w:hint="eastAsia" w:ascii="宋体" w:hAnsi="宋体" w:cs="宋体"/>
                <w:color w:val="000000"/>
                <w:kern w:val="0"/>
                <w:sz w:val="18"/>
                <w:szCs w:val="18"/>
                <w:lang w:bidi="ar"/>
              </w:rPr>
              <w:br w:type="textWrapping"/>
            </w:r>
          </w:p>
        </w:tc>
        <w:tc>
          <w:tcPr>
            <w:tcW w:w="26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61312" behindDoc="0" locked="0" layoutInCell="1" allowOverlap="1">
                  <wp:simplePos x="0" y="0"/>
                  <wp:positionH relativeFrom="column">
                    <wp:posOffset>81915</wp:posOffset>
                  </wp:positionH>
                  <wp:positionV relativeFrom="paragraph">
                    <wp:posOffset>632460</wp:posOffset>
                  </wp:positionV>
                  <wp:extent cx="1489710" cy="1068705"/>
                  <wp:effectExtent l="0" t="0" r="15240" b="17145"/>
                  <wp:wrapNone/>
                  <wp:docPr id="20" name="图片_3_SpCnt_2"/>
                  <wp:cNvGraphicFramePr/>
                  <a:graphic xmlns:a="http://schemas.openxmlformats.org/drawingml/2006/main">
                    <a:graphicData uri="http://schemas.openxmlformats.org/drawingml/2006/picture">
                      <pic:pic xmlns:pic="http://schemas.openxmlformats.org/drawingml/2006/picture">
                        <pic:nvPicPr>
                          <pic:cNvPr id="20" name="图片_3_SpCnt_2"/>
                          <pic:cNvPicPr/>
                        </pic:nvPicPr>
                        <pic:blipFill>
                          <a:blip r:embed="rId16"/>
                          <a:stretch>
                            <a:fillRect/>
                          </a:stretch>
                        </pic:blipFill>
                        <pic:spPr>
                          <a:xfrm>
                            <a:off x="0" y="0"/>
                            <a:ext cx="1489710" cy="1068705"/>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1、贴面材料：采用进口实木皮,可采用美国大西洋牌胡桃高级木皮，实木皮饰面，厚度0.6mm；桌面厚度25mm，其余板材为18mm。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4、五金配件（包括锁具、铰链及导轨等）：DTC、美顿、百隆等品牌或同等档次品牌连接件。</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新胡桃色</w:t>
            </w:r>
          </w:p>
        </w:tc>
        <w:tc>
          <w:tcPr>
            <w:tcW w:w="6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r>
              <w:rPr>
                <w:rFonts w:hint="eastAsia" w:ascii="宋体" w:hAnsi="宋体" w:cs="宋体"/>
                <w:color w:val="000000"/>
                <w:kern w:val="0"/>
                <w:sz w:val="18"/>
                <w:szCs w:val="18"/>
                <w:lang w:val="en-US" w:eastAsia="zh-CN" w:bidi="ar"/>
              </w:rPr>
              <w:t>4</w:t>
            </w:r>
            <w:r>
              <w:rPr>
                <w:rFonts w:hint="eastAsia" w:ascii="宋体" w:hAnsi="宋体" w:cs="宋体"/>
                <w:color w:val="000000"/>
                <w:kern w:val="0"/>
                <w:sz w:val="18"/>
                <w:szCs w:val="18"/>
                <w:lang w:bidi="ar"/>
              </w:rPr>
              <w:t>00*700*760</w:t>
            </w:r>
          </w:p>
        </w:tc>
        <w:tc>
          <w:tcPr>
            <w:tcW w:w="38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474"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9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条桌</w:t>
            </w:r>
          </w:p>
        </w:tc>
        <w:tc>
          <w:tcPr>
            <w:tcW w:w="26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62336" behindDoc="0" locked="0" layoutInCell="1" allowOverlap="1">
                  <wp:simplePos x="0" y="0"/>
                  <wp:positionH relativeFrom="column">
                    <wp:posOffset>10160</wp:posOffset>
                  </wp:positionH>
                  <wp:positionV relativeFrom="paragraph">
                    <wp:posOffset>537845</wp:posOffset>
                  </wp:positionV>
                  <wp:extent cx="1586865" cy="1299845"/>
                  <wp:effectExtent l="0" t="0" r="13335" b="14605"/>
                  <wp:wrapNone/>
                  <wp:docPr id="24" name="图片_1"/>
                  <wp:cNvGraphicFramePr/>
                  <a:graphic xmlns:a="http://schemas.openxmlformats.org/drawingml/2006/main">
                    <a:graphicData uri="http://schemas.openxmlformats.org/drawingml/2006/picture">
                      <pic:pic xmlns:pic="http://schemas.openxmlformats.org/drawingml/2006/picture">
                        <pic:nvPicPr>
                          <pic:cNvPr id="24" name="图片_1"/>
                          <pic:cNvPicPr/>
                        </pic:nvPicPr>
                        <pic:blipFill>
                          <a:blip r:embed="rId17"/>
                          <a:stretch>
                            <a:fillRect/>
                          </a:stretch>
                        </pic:blipFill>
                        <pic:spPr>
                          <a:xfrm>
                            <a:off x="0" y="0"/>
                            <a:ext cx="1586865" cy="1299845"/>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1、贴面材料：采用进口实木皮,可采用美国大西洋牌胡桃高级木皮，实木皮饰面，厚度0.6mm；桌面厚度25mm，其余板材为18mm。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4、下部采用优质加粗钢架。五金配件（包括锁具、铰链及导轨等）：DTC、美顿、百隆等品牌或同等档次品牌连接件。</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新胡桃色</w:t>
            </w:r>
          </w:p>
        </w:tc>
        <w:tc>
          <w:tcPr>
            <w:tcW w:w="6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1</w:t>
            </w:r>
            <w:r>
              <w:rPr>
                <w:rFonts w:hint="eastAsia" w:ascii="宋体" w:hAnsi="宋体" w:cs="宋体"/>
                <w:color w:val="000000"/>
                <w:kern w:val="0"/>
                <w:sz w:val="18"/>
                <w:szCs w:val="18"/>
                <w:lang w:val="en-US" w:eastAsia="zh-CN" w:bidi="ar"/>
              </w:rPr>
              <w:t>4</w:t>
            </w:r>
            <w:r>
              <w:rPr>
                <w:rFonts w:hint="eastAsia" w:ascii="宋体" w:hAnsi="宋体" w:cs="宋体"/>
                <w:color w:val="000000"/>
                <w:kern w:val="0"/>
                <w:sz w:val="18"/>
                <w:szCs w:val="18"/>
                <w:lang w:bidi="ar"/>
              </w:rPr>
              <w:t>00*700*760</w:t>
            </w:r>
          </w:p>
        </w:tc>
        <w:tc>
          <w:tcPr>
            <w:tcW w:w="388"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bidi="ar"/>
              </w:rPr>
              <w:t>19</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474" w:type="dxa"/>
            <w:vMerge w:val="restart"/>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91"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前排</w:t>
            </w:r>
            <w:r>
              <w:rPr>
                <w:rFonts w:hint="eastAsia" w:ascii="宋体" w:hAnsi="宋体" w:cs="宋体"/>
                <w:color w:val="000000"/>
                <w:kern w:val="0"/>
                <w:sz w:val="18"/>
                <w:szCs w:val="18"/>
                <w:lang w:bidi="ar"/>
              </w:rPr>
              <w:t>条桌</w:t>
            </w:r>
            <w:r>
              <w:rPr>
                <w:rFonts w:hint="eastAsia" w:ascii="宋体" w:hAnsi="宋体" w:cs="宋体"/>
                <w:color w:val="000000"/>
                <w:kern w:val="0"/>
                <w:sz w:val="18"/>
                <w:szCs w:val="18"/>
                <w:lang w:eastAsia="zh-CN" w:bidi="ar"/>
              </w:rPr>
              <w:t>（带话筒功能）</w:t>
            </w:r>
          </w:p>
        </w:tc>
        <w:tc>
          <w:tcPr>
            <w:tcW w:w="2610"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bdr w:val="single" w:color="000000" w:sz="4" w:space="0"/>
              </w:rPr>
            </w:pPr>
            <w:r>
              <w:rPr>
                <w:rFonts w:hint="eastAsia" w:ascii="宋体" w:hAnsi="宋体" w:cs="宋体"/>
                <w:color w:val="000000"/>
                <w:kern w:val="0"/>
                <w:sz w:val="18"/>
                <w:szCs w:val="18"/>
                <w:bdr w:val="single" w:color="000000" w:sz="4" w:space="0"/>
              </w:rPr>
              <w:drawing>
                <wp:anchor distT="0" distB="0" distL="114300" distR="114300" simplePos="0" relativeHeight="251679744" behindDoc="0" locked="0" layoutInCell="1" allowOverlap="1">
                  <wp:simplePos x="0" y="0"/>
                  <wp:positionH relativeFrom="column">
                    <wp:posOffset>10160</wp:posOffset>
                  </wp:positionH>
                  <wp:positionV relativeFrom="paragraph">
                    <wp:posOffset>537845</wp:posOffset>
                  </wp:positionV>
                  <wp:extent cx="1586865" cy="1299845"/>
                  <wp:effectExtent l="0" t="0" r="13335" b="14605"/>
                  <wp:wrapNone/>
                  <wp:docPr id="7" name="图片_1"/>
                  <wp:cNvGraphicFramePr/>
                  <a:graphic xmlns:a="http://schemas.openxmlformats.org/drawingml/2006/main">
                    <a:graphicData uri="http://schemas.openxmlformats.org/drawingml/2006/picture">
                      <pic:pic xmlns:pic="http://schemas.openxmlformats.org/drawingml/2006/picture">
                        <pic:nvPicPr>
                          <pic:cNvPr id="7" name="图片_1"/>
                          <pic:cNvPicPr/>
                        </pic:nvPicPr>
                        <pic:blipFill>
                          <a:blip r:embed="rId17"/>
                          <a:stretch>
                            <a:fillRect/>
                          </a:stretch>
                        </pic:blipFill>
                        <pic:spPr>
                          <a:xfrm>
                            <a:off x="0" y="0"/>
                            <a:ext cx="1586865" cy="1299845"/>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1、贴面材料：采用进口实木皮,可采用美国大西洋牌胡桃高级木皮，实木皮饰面，厚度0.6mm；桌面厚度25mm，其余板材为18mm。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4、下部采用优质加粗钢架。五金配件（包括锁具、铰链及导轨等）：DTC、美顿、百隆等品牌或同等档次品牌连接件。</w:t>
            </w:r>
          </w:p>
        </w:tc>
        <w:tc>
          <w:tcPr>
            <w:tcW w:w="618"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新胡桃色</w:t>
            </w:r>
          </w:p>
        </w:tc>
        <w:tc>
          <w:tcPr>
            <w:tcW w:w="626"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val="en-US" w:eastAsia="zh-CN" w:bidi="ar"/>
              </w:rPr>
              <w:t>21</w:t>
            </w:r>
            <w:r>
              <w:rPr>
                <w:rFonts w:hint="eastAsia" w:ascii="宋体" w:hAnsi="宋体" w:cs="宋体"/>
                <w:color w:val="000000"/>
                <w:kern w:val="0"/>
                <w:sz w:val="18"/>
                <w:szCs w:val="18"/>
                <w:lang w:bidi="ar"/>
              </w:rPr>
              <w:t>00*700*760</w:t>
            </w:r>
          </w:p>
        </w:tc>
        <w:tc>
          <w:tcPr>
            <w:tcW w:w="388"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6</w:t>
            </w:r>
          </w:p>
        </w:tc>
        <w:tc>
          <w:tcPr>
            <w:tcW w:w="386"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0" w:hRule="atLeast"/>
          <w:jc w:val="center"/>
        </w:trPr>
        <w:tc>
          <w:tcPr>
            <w:tcW w:w="392"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474"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9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茶水柜</w:t>
            </w:r>
          </w:p>
        </w:tc>
        <w:tc>
          <w:tcPr>
            <w:tcW w:w="26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bdr w:val="single" w:color="000000" w:sz="4" w:space="0"/>
              </w:rPr>
              <w:drawing>
                <wp:anchor distT="0" distB="0" distL="114300" distR="114300" simplePos="0" relativeHeight="251663360" behindDoc="0" locked="0" layoutInCell="1" allowOverlap="1">
                  <wp:simplePos x="0" y="0"/>
                  <wp:positionH relativeFrom="column">
                    <wp:posOffset>239395</wp:posOffset>
                  </wp:positionH>
                  <wp:positionV relativeFrom="paragraph">
                    <wp:posOffset>510540</wp:posOffset>
                  </wp:positionV>
                  <wp:extent cx="1107440" cy="1036955"/>
                  <wp:effectExtent l="0" t="0" r="16510" b="10795"/>
                  <wp:wrapNone/>
                  <wp:docPr id="25" name="图片_1_SpCnt_1"/>
                  <wp:cNvGraphicFramePr/>
                  <a:graphic xmlns:a="http://schemas.openxmlformats.org/drawingml/2006/main">
                    <a:graphicData uri="http://schemas.openxmlformats.org/drawingml/2006/picture">
                      <pic:pic xmlns:pic="http://schemas.openxmlformats.org/drawingml/2006/picture">
                        <pic:nvPicPr>
                          <pic:cNvPr id="25" name="图片_1_SpCnt_1"/>
                          <pic:cNvPicPr/>
                        </pic:nvPicPr>
                        <pic:blipFill>
                          <a:blip r:embed="rId18"/>
                          <a:stretch>
                            <a:fillRect/>
                          </a:stretch>
                        </pic:blipFill>
                        <pic:spPr>
                          <a:xfrm>
                            <a:off x="0" y="0"/>
                            <a:ext cx="1107440" cy="1036955"/>
                          </a:xfrm>
                          <a:prstGeom prst="rect">
                            <a:avLst/>
                          </a:prstGeom>
                          <a:noFill/>
                          <a:ln>
                            <a:noFill/>
                          </a:ln>
                        </pic:spPr>
                      </pic:pic>
                    </a:graphicData>
                  </a:graphic>
                </wp:anchor>
              </w:drawing>
            </w:r>
          </w:p>
        </w:tc>
        <w:tc>
          <w:tcPr>
            <w:tcW w:w="3390"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1、贴面材料：采用进口实木皮,可采用美国大西洋牌胡桃高级木皮，实木皮饰面，厚度0.6mm；桌面厚度25mm，其余板材为18mm。</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2、封边用材：美国白木或与贴面相同的进口实木木材；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3、基材：采用吉林露水河多层板,优质绿色环保产品,甲醛含量≤1.0mg/L密度≥760kg/m3,静曲张度≥ 51.2Mpa,吸水膨胀率≤8.1%.</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4、五金配件（包括锁具、铰链及导轨等）：DTC、美顿、百隆等品牌或同等档次品牌连接件。</w:t>
            </w:r>
          </w:p>
        </w:tc>
        <w:tc>
          <w:tcPr>
            <w:tcW w:w="61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新胡桃色</w:t>
            </w:r>
          </w:p>
        </w:tc>
        <w:tc>
          <w:tcPr>
            <w:tcW w:w="62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800*400*850</w:t>
            </w:r>
          </w:p>
        </w:tc>
        <w:tc>
          <w:tcPr>
            <w:tcW w:w="388"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38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0" w:hRule="atLeast"/>
          <w:jc w:val="center"/>
        </w:trPr>
        <w:tc>
          <w:tcPr>
            <w:tcW w:w="9675" w:type="dxa"/>
            <w:gridSpan w:val="9"/>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备注：1、本项目须满足检察机关办案安全需要，所有讯问室、询问室、听证室、接待室、未成年谈话室家具边角均磨圆，不可露出尖锐的部分及金属部分；因现场需要而对家具进行的边角防范处理包括但不限于扪皮、软包、圆角等措施，由采购人根据实际场所需要而确定，成交供应商不得拒绝，且不另行支付费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2、因施工现场尺寸与下表所列具体尺寸不一致，根据现场尺寸而进行调整的，由此产生的费用不另行支付。</w:t>
            </w:r>
          </w:p>
        </w:tc>
      </w:tr>
    </w:tbl>
    <w:p>
      <w:pPr>
        <w:spacing w:line="420" w:lineRule="exact"/>
        <w:ind w:firstLine="482" w:firstLineChars="200"/>
        <w:outlineLvl w:val="1"/>
        <w:rPr>
          <w:rFonts w:eastAsia="仿宋_GB2312"/>
          <w:b/>
          <w:bCs/>
          <w:sz w:val="24"/>
          <w:szCs w:val="24"/>
        </w:rPr>
      </w:pPr>
      <w:r>
        <w:rPr>
          <w:rFonts w:hint="eastAsia" w:eastAsia="仿宋_GB2312"/>
          <w:b/>
          <w:bCs/>
          <w:sz w:val="24"/>
          <w:szCs w:val="24"/>
        </w:rPr>
        <w:t>样品</w:t>
      </w:r>
    </w:p>
    <w:p>
      <w:pPr>
        <w:spacing w:line="420" w:lineRule="exact"/>
        <w:ind w:firstLine="480" w:firstLineChars="200"/>
        <w:rPr>
          <w:rFonts w:eastAsia="仿宋_GB2312"/>
          <w:bCs/>
          <w:sz w:val="24"/>
          <w:szCs w:val="24"/>
        </w:rPr>
      </w:pPr>
      <w:r>
        <w:rPr>
          <w:rFonts w:hint="eastAsia" w:eastAsia="仿宋_GB2312"/>
          <w:bCs/>
          <w:sz w:val="24"/>
          <w:szCs w:val="24"/>
          <w:lang w:val="en-US" w:eastAsia="zh-CN"/>
        </w:rPr>
        <w:t>1、</w:t>
      </w:r>
      <w:r>
        <w:rPr>
          <w:rFonts w:hint="eastAsia" w:eastAsia="仿宋_GB2312"/>
          <w:bCs/>
          <w:sz w:val="24"/>
          <w:szCs w:val="24"/>
        </w:rPr>
        <w:t>提供本次采购招标文件“项目需求产品清单”中的：</w:t>
      </w:r>
    </w:p>
    <w:p>
      <w:pPr>
        <w:spacing w:line="420" w:lineRule="exact"/>
        <w:ind w:firstLine="480" w:firstLineChars="200"/>
        <w:rPr>
          <w:rFonts w:ascii="黑体" w:hAnsi="黑体" w:eastAsia="黑体"/>
          <w:bCs/>
          <w:sz w:val="24"/>
          <w:szCs w:val="24"/>
          <w:u w:val="double" w:color="FF0000"/>
        </w:rPr>
      </w:pPr>
      <w:r>
        <w:rPr>
          <w:rFonts w:hint="eastAsia" w:ascii="黑体" w:hAnsi="黑体" w:eastAsia="黑体"/>
          <w:bCs/>
          <w:sz w:val="24"/>
          <w:szCs w:val="24"/>
          <w:u w:val="thick" w:color="FF0000"/>
        </w:rPr>
        <w:t>“序号9：</w:t>
      </w:r>
      <w:r>
        <w:rPr>
          <w:rFonts w:hint="eastAsia" w:ascii="黑体" w:hAnsi="黑体" w:eastAsia="黑体"/>
          <w:bCs/>
          <w:sz w:val="24"/>
          <w:szCs w:val="24"/>
          <w:u w:val="thick" w:color="FF0000"/>
          <w:lang w:val="en-US" w:eastAsia="zh-CN"/>
        </w:rPr>
        <w:t>提审</w:t>
      </w:r>
      <w:r>
        <w:rPr>
          <w:rFonts w:hint="eastAsia" w:ascii="黑体" w:hAnsi="黑体" w:eastAsia="黑体"/>
          <w:bCs/>
          <w:sz w:val="24"/>
          <w:szCs w:val="24"/>
          <w:u w:val="thick" w:color="FF0000"/>
        </w:rPr>
        <w:t>桌”、“序号10：</w:t>
      </w:r>
      <w:r>
        <w:rPr>
          <w:rFonts w:hint="eastAsia" w:ascii="黑体" w:hAnsi="黑体" w:eastAsia="黑体"/>
          <w:bCs/>
          <w:sz w:val="24"/>
          <w:szCs w:val="24"/>
          <w:u w:val="thick" w:color="FF0000"/>
          <w:lang w:val="en-US" w:eastAsia="zh-CN"/>
        </w:rPr>
        <w:t>提审</w:t>
      </w:r>
      <w:r>
        <w:rPr>
          <w:rFonts w:hint="eastAsia" w:ascii="黑体" w:hAnsi="黑体" w:eastAsia="黑体"/>
          <w:bCs/>
          <w:sz w:val="24"/>
          <w:szCs w:val="24"/>
          <w:u w:val="thick" w:color="FF0000"/>
        </w:rPr>
        <w:t>椅”二件样品，</w:t>
      </w:r>
      <w:r>
        <w:rPr>
          <w:rFonts w:hint="eastAsia" w:ascii="黑体" w:hAnsi="黑体" w:eastAsia="黑体"/>
          <w:bCs/>
          <w:sz w:val="24"/>
          <w:szCs w:val="24"/>
          <w:u w:val="double" w:color="FF0000"/>
        </w:rPr>
        <w:t>【特别提醒】样品不能出现该产品制造商的任何标志、标记如：品牌、制造商、型号等，否则：在评标环节的“样品”评审中将不获得评分，请供应商提前处理好各自相应的样品。</w:t>
      </w:r>
    </w:p>
    <w:p>
      <w:pPr>
        <w:widowControl/>
        <w:spacing w:line="360" w:lineRule="auto"/>
        <w:ind w:left="1" w:firstLine="480" w:firstLineChars="200"/>
        <w:jc w:val="left"/>
        <w:rPr>
          <w:rFonts w:hint="eastAsia" w:ascii="宋体" w:hAnsi="宋体" w:cs="宋体"/>
          <w:szCs w:val="21"/>
        </w:rPr>
      </w:pPr>
      <w:r>
        <w:rPr>
          <w:rFonts w:hint="eastAsia" w:eastAsia="仿宋_GB2312"/>
          <w:bCs/>
          <w:sz w:val="24"/>
          <w:szCs w:val="24"/>
          <w:lang w:val="en-US" w:eastAsia="zh-CN"/>
        </w:rPr>
        <w:t>2、</w:t>
      </w:r>
      <w:r>
        <w:rPr>
          <w:rFonts w:hint="eastAsia" w:ascii="宋体" w:hAnsi="宋体" w:cs="宋体"/>
          <w:szCs w:val="21"/>
        </w:rPr>
        <w:t>采购人将对成交供应商的样品进行封存，所有供应商自行承担相关样品制作、运输等费用。</w:t>
      </w:r>
    </w:p>
    <w:p>
      <w:pPr>
        <w:widowControl/>
        <w:spacing w:line="360" w:lineRule="auto"/>
        <w:ind w:left="1" w:firstLine="420" w:firstLineChars="20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未成交供应商的样品必须于开标后及时搬离样品存放区，采购单位不承担样品的保管责任。</w:t>
      </w:r>
    </w:p>
    <w:p>
      <w:pPr>
        <w:widowControl/>
        <w:spacing w:before="100" w:beforeAutospacing="1" w:after="100" w:afterAutospacing="1" w:line="360" w:lineRule="auto"/>
        <w:ind w:firstLine="422" w:firstLineChars="200"/>
        <w:jc w:val="left"/>
        <w:rPr>
          <w:rFonts w:ascii="宋体" w:hAnsi="宋体" w:cs="宋体"/>
          <w:szCs w:val="21"/>
        </w:rPr>
      </w:pPr>
      <w:bookmarkStart w:id="21" w:name="_GoBack"/>
      <w:bookmarkEnd w:id="21"/>
      <w:r>
        <w:rPr>
          <w:rFonts w:hint="eastAsia" w:ascii="宋体" w:hAnsi="宋体" w:cs="宋体"/>
          <w:b/>
          <w:bCs/>
          <w:szCs w:val="21"/>
        </w:rPr>
        <w:t>交付时间：</w:t>
      </w:r>
      <w:r>
        <w:rPr>
          <w:rFonts w:hint="eastAsia" w:ascii="宋体" w:hAnsi="宋体" w:cs="宋体"/>
          <w:szCs w:val="21"/>
        </w:rPr>
        <w:t>成交供应商自合同签定后40日内，根据采购单位的送货通知送至指定地点，交货并安装调试完毕。如成交供应商不能按期完成供货安装、调试、验收交付，采购单位有权进行处罚，每延期一天罚款1000元，在货款中扣除。</w:t>
      </w:r>
    </w:p>
    <w:p>
      <w:pPr>
        <w:pStyle w:val="14"/>
        <w:numPr>
          <w:ilvl w:val="0"/>
          <w:numId w:val="3"/>
        </w:numPr>
        <w:snapToGrid w:val="0"/>
        <w:spacing w:before="120" w:after="120" w:line="360" w:lineRule="auto"/>
        <w:rPr>
          <w:rFonts w:hAnsi="宋体" w:cs="宋体"/>
          <w:b/>
          <w:bCs/>
          <w:szCs w:val="21"/>
        </w:rPr>
      </w:pPr>
      <w:r>
        <w:rPr>
          <w:rFonts w:hint="eastAsia" w:hAnsi="宋体" w:cs="宋体"/>
          <w:b/>
          <w:bCs/>
          <w:szCs w:val="21"/>
        </w:rPr>
        <w:t>采购标的需满足的服务标准、期限、效率等要求</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1、质保期限（自交货并验收合格之日起计）：所有产品均须提供至少2年的质量保修期，质量保修期内免费更换损坏的零配件，供应商应按国家对该类产品的规定实行三包。</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2、在质量保修期内出现质量问题（人为因素除外）提供免费维修服务及技术支持售后服务；质量保修期届满后，供应商对家具的维修、更换服务仅收取工料成本费。</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3、质量保修期内成交供应商免费提供家具维修、零部件更换等服务。家具出现故障时，成交供应商在接到采购单位通知4小时内指派技术人员到现场解决问题，现场无法解决问题的，成交供应商须提供备用家具供采购单位使用，因此产生的一切费用（包括但不限于人工费、配件费、交通费、运输费）及备用家具的损耗由成交供应商承担。</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4、质保期内，同一商品、同一质量问题连续两次维修仍无法正常使用的，供应商应无条件给予全套更新或退货。</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5、质保期内，成交供应商未按本合同约定履行保修义务的，采购单位有权自行委托第三方进行解决，因此而发生的费用由供应商承担。</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6、质保期满后，成交供应商须提供终身维修服务及技术支持售后服务；质保期满后，成交供应商对家具的维修、更换服务仅收取成本费。但因成交供应商提供家具存在固有的质量问题而导致的除外。</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7、随时优惠提供备品备件，优惠提供产品更新、改造服务。</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8、其余按厂家承诺进行。</w:t>
      </w:r>
    </w:p>
    <w:p>
      <w:pPr>
        <w:widowControl/>
        <w:spacing w:line="360" w:lineRule="auto"/>
        <w:jc w:val="left"/>
        <w:rPr>
          <w:rFonts w:ascii="宋体" w:hAnsi="宋体" w:cs="宋体"/>
          <w:b/>
          <w:bCs/>
          <w:szCs w:val="21"/>
        </w:rPr>
      </w:pPr>
    </w:p>
    <w:p>
      <w:pPr>
        <w:pStyle w:val="14"/>
        <w:numPr>
          <w:ilvl w:val="0"/>
          <w:numId w:val="3"/>
        </w:numPr>
        <w:snapToGrid w:val="0"/>
        <w:spacing w:before="120" w:after="120" w:line="360" w:lineRule="auto"/>
        <w:rPr>
          <w:rFonts w:hAnsi="宋体" w:cs="宋体"/>
          <w:b/>
          <w:bCs/>
          <w:szCs w:val="21"/>
        </w:rPr>
      </w:pPr>
      <w:r>
        <w:rPr>
          <w:rFonts w:hint="eastAsia" w:hAnsi="宋体" w:cs="宋体"/>
          <w:b/>
          <w:bCs/>
          <w:szCs w:val="21"/>
        </w:rPr>
        <w:t>采购标的验收标准</w:t>
      </w:r>
    </w:p>
    <w:p>
      <w:pPr>
        <w:widowControl/>
        <w:spacing w:before="100" w:beforeAutospacing="1" w:after="100" w:afterAutospacing="1" w:line="360" w:lineRule="auto"/>
        <w:rPr>
          <w:rFonts w:ascii="宋体" w:hAnsi="宋体" w:cs="宋体"/>
          <w:szCs w:val="21"/>
        </w:rPr>
      </w:pPr>
      <w:r>
        <w:rPr>
          <w:rFonts w:hint="eastAsia" w:ascii="宋体" w:hAnsi="宋体" w:cs="宋体"/>
          <w:szCs w:val="21"/>
        </w:rPr>
        <w:t>1、项目涉及到的货物由采购人按照国家有关验收规范对磋商文件要求的数量、质量进行专项验收，必要时邀请相关的专业人员或机构参与验收；</w:t>
      </w:r>
    </w:p>
    <w:p>
      <w:pPr>
        <w:widowControl/>
        <w:spacing w:before="100" w:beforeAutospacing="1" w:after="100" w:afterAutospacing="1" w:line="360" w:lineRule="auto"/>
        <w:rPr>
          <w:rFonts w:ascii="宋体" w:hAnsi="宋体" w:cs="宋体"/>
          <w:szCs w:val="21"/>
        </w:rPr>
      </w:pPr>
      <w:r>
        <w:rPr>
          <w:rFonts w:hint="eastAsia" w:ascii="宋体" w:hAnsi="宋体" w:cs="宋体"/>
          <w:szCs w:val="21"/>
        </w:rPr>
        <w:t>2、成交供应商所供货物在进行专项验收时，应对由于设计、工艺或材料的缺陷而发生的任何不足或故障负责，并承担由此引起的一切后果；</w:t>
      </w:r>
    </w:p>
    <w:p>
      <w:pPr>
        <w:spacing w:line="360" w:lineRule="auto"/>
        <w:rPr>
          <w:rFonts w:ascii="宋体" w:hAnsi="宋体" w:cs="宋体"/>
          <w:szCs w:val="21"/>
        </w:rPr>
      </w:pPr>
      <w:r>
        <w:rPr>
          <w:rFonts w:hint="eastAsia" w:ascii="宋体" w:hAnsi="宋体" w:cs="宋体"/>
          <w:szCs w:val="21"/>
        </w:rPr>
        <w:t>3、验收标准：合格，标准可参照项目需求材质说明内容。因产品质量问题发生争议时，采购人有权要求成交供应商将货物送法定质量检测机构（南通市质量技术监督局）检定，检定费用由有过失的一方负责（检验不合格的，检测费用由成交供应商承担，检验合格的，检测费用由采购人承担），检定合格方可通过验收；</w:t>
      </w:r>
    </w:p>
    <w:p>
      <w:pPr>
        <w:widowControl/>
        <w:spacing w:before="100" w:beforeAutospacing="1" w:after="100" w:afterAutospacing="1" w:line="360" w:lineRule="auto"/>
        <w:rPr>
          <w:rFonts w:ascii="宋体" w:hAnsi="宋体" w:cs="宋体"/>
          <w:szCs w:val="21"/>
        </w:rPr>
      </w:pPr>
      <w:r>
        <w:rPr>
          <w:rFonts w:hint="eastAsia" w:ascii="宋体" w:hAnsi="宋体" w:cs="宋体"/>
          <w:szCs w:val="21"/>
        </w:rPr>
        <w:t>4、成交供应商所供货物，可由法定质量检测机构（南通市质量技术监督局）从中随机抽取1件进行全项检测，成交供应商承担因此涉及到的所有费用；</w:t>
      </w:r>
    </w:p>
    <w:p>
      <w:pPr>
        <w:widowControl/>
        <w:spacing w:before="100" w:beforeAutospacing="1" w:after="100" w:afterAutospacing="1" w:line="360" w:lineRule="auto"/>
        <w:rPr>
          <w:rFonts w:ascii="宋体" w:hAnsi="宋体" w:cs="宋体"/>
          <w:szCs w:val="21"/>
        </w:rPr>
      </w:pPr>
      <w:r>
        <w:rPr>
          <w:rFonts w:hint="eastAsia" w:ascii="宋体" w:hAnsi="宋体" w:cs="宋体"/>
          <w:szCs w:val="21"/>
        </w:rPr>
        <w:t xml:space="preserve">5、采购人有权拒收未通过专项验收的货物，已供货物仅按合同货物单价的10%结算； </w:t>
      </w:r>
    </w:p>
    <w:p>
      <w:pPr>
        <w:widowControl/>
        <w:spacing w:before="100" w:beforeAutospacing="1" w:after="100" w:afterAutospacing="1" w:line="360" w:lineRule="auto"/>
        <w:rPr>
          <w:rFonts w:ascii="宋体" w:hAnsi="宋体" w:cs="宋体"/>
          <w:szCs w:val="21"/>
        </w:rPr>
      </w:pPr>
      <w:r>
        <w:rPr>
          <w:rFonts w:hint="eastAsia" w:ascii="宋体" w:hAnsi="宋体" w:cs="宋体"/>
          <w:szCs w:val="21"/>
        </w:rPr>
        <w:t>6、对于检测不合格的，该批次货物无条件退场，并由此认定为是成交供应商自身的原因而导致该结果，采购人有权取消其成交资格且解除采购合同，且成交供应商须向采购人支付合同总额20%的违约金。</w:t>
      </w:r>
    </w:p>
    <w:p>
      <w:pPr>
        <w:widowControl/>
        <w:spacing w:line="360" w:lineRule="auto"/>
        <w:jc w:val="left"/>
        <w:rPr>
          <w:rFonts w:ascii="宋体" w:hAnsi="宋体" w:cs="宋体"/>
          <w:b/>
          <w:bCs/>
          <w:szCs w:val="21"/>
        </w:rPr>
      </w:pPr>
    </w:p>
    <w:p>
      <w:pPr>
        <w:pStyle w:val="14"/>
        <w:numPr>
          <w:ilvl w:val="0"/>
          <w:numId w:val="3"/>
        </w:numPr>
        <w:snapToGrid w:val="0"/>
        <w:spacing w:before="120" w:after="120" w:line="360" w:lineRule="auto"/>
        <w:rPr>
          <w:rFonts w:hAnsi="宋体" w:cs="宋体"/>
          <w:b/>
          <w:bCs/>
          <w:szCs w:val="21"/>
        </w:rPr>
      </w:pPr>
      <w:r>
        <w:rPr>
          <w:rFonts w:hint="eastAsia" w:hAnsi="宋体" w:cs="宋体"/>
          <w:b/>
          <w:bCs/>
          <w:szCs w:val="21"/>
        </w:rPr>
        <w:t>采购标的其他技术、服务等要求</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1、投标人所投家具须为绿色环保家具，甲醛等有害物质释放量必须符合国家的相关环保规定，且投标家具须符合国家及行业标准及磋商文件技术要求。</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2、投标所有家具必须是未使用过的、表面和内部均无瑕疵的原厂原装、全新家具，家具所使用面材、基材、油漆、胶水、五金件必须满足国家及行业标准及磋商文件技术要求。</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3、供货时提供家具合格证，验收时提供质保书、保修证明等。</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4、关于家具的具体颜色，在批量生产前，供应商须提供相关色板供采购单位筛选确认，相关费用包含在投标总价中。供应商必须按采购单位确认的色板颜色交货。颜色的改变不影响最终成交价格。</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5、关于家具的具体材料质地，在家具批量生产前，供应商必须提供相关家具主材及配件的材料样板供采购单位筛选确认，包括实木主材、多层板、实木木皮、皮质（西皮、牛皮）（板材、皮质样板尺寸A4纸大小）、五金配件（铰链、轨道），相关费用包含在投标总价中。供应商必须按采购单位确认的样品和材料样板交货。</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6、供应商应在采购单位要求的指定地点位置安装相应家具。如供应商未送货、安装、调试到位，采购单位有权拒绝收货。</w:t>
      </w:r>
    </w:p>
    <w:p>
      <w:pPr>
        <w:widowControl/>
        <w:spacing w:before="100" w:beforeAutospacing="1" w:after="100" w:afterAutospacing="1" w:line="360" w:lineRule="auto"/>
        <w:jc w:val="left"/>
        <w:rPr>
          <w:rFonts w:ascii="宋体" w:hAnsi="宋体" w:cs="宋体"/>
          <w:szCs w:val="21"/>
        </w:rPr>
      </w:pPr>
      <w:r>
        <w:rPr>
          <w:rFonts w:hint="eastAsia" w:ascii="宋体" w:hAnsi="宋体" w:cs="宋体"/>
          <w:szCs w:val="21"/>
        </w:rPr>
        <w:t>7、供应商在配送、安装过程中一切安全责任自负，应坚持“安全第一、预防为主”的原则，按规范采取安全的防护措施，加强安全生产教育，增强作业人员的安全生产意识。</w:t>
      </w:r>
    </w:p>
    <w:p>
      <w:pPr>
        <w:pStyle w:val="14"/>
        <w:numPr>
          <w:ilvl w:val="0"/>
          <w:numId w:val="3"/>
        </w:numPr>
        <w:snapToGrid w:val="0"/>
        <w:spacing w:before="120" w:after="120" w:line="360" w:lineRule="auto"/>
        <w:rPr>
          <w:rFonts w:hAnsi="宋体" w:cs="宋体"/>
          <w:b/>
          <w:bCs/>
          <w:szCs w:val="21"/>
        </w:rPr>
      </w:pPr>
      <w:r>
        <w:rPr>
          <w:rFonts w:hint="eastAsia" w:hAnsi="宋体" w:cs="宋体"/>
          <w:b/>
          <w:bCs/>
          <w:szCs w:val="21"/>
        </w:rPr>
        <w:t>付款条件</w:t>
      </w:r>
    </w:p>
    <w:p>
      <w:pPr>
        <w:widowControl/>
        <w:spacing w:before="100" w:beforeAutospacing="1" w:after="100" w:afterAutospacing="1" w:line="360" w:lineRule="auto"/>
        <w:ind w:firstLine="420" w:firstLineChars="200"/>
        <w:jc w:val="left"/>
        <w:rPr>
          <w:rFonts w:ascii="宋体" w:hAnsi="宋体" w:cs="宋体"/>
          <w:szCs w:val="21"/>
        </w:rPr>
      </w:pPr>
      <w:r>
        <w:rPr>
          <w:rFonts w:hint="eastAsia" w:ascii="宋体" w:hAnsi="宋体" w:cs="宋体"/>
          <w:szCs w:val="21"/>
        </w:rPr>
        <w:t>合同签订后支付成交价的30%，供应商所有货物送达后，安装、调试完毕通过验收且采购单位出具书面接收单后付清尾款；供应商需交纳采购单位成交价的10%的作为质保金，质保期满后经采购单位确认无质量问题后一周内一次性退还质保金（扣除已发生的维修费用、违约金、赔偿金的费用），以上付款均不计利息。</w:t>
      </w:r>
    </w:p>
    <w:p>
      <w:pPr>
        <w:widowControl/>
        <w:spacing w:line="360" w:lineRule="auto"/>
        <w:jc w:val="left"/>
        <w:rPr>
          <w:rFonts w:ascii="宋体" w:hAnsi="宋体" w:cs="宋体"/>
          <w:b/>
          <w:bCs/>
          <w:szCs w:val="21"/>
        </w:rPr>
      </w:pPr>
    </w:p>
    <w:p>
      <w:pPr>
        <w:spacing w:line="360" w:lineRule="auto"/>
        <w:rPr>
          <w:rFonts w:ascii="宋体" w:hAnsi="宋体" w:cs="宋体"/>
          <w:szCs w:val="21"/>
        </w:rPr>
      </w:pPr>
      <w:r>
        <w:rPr>
          <w:rFonts w:hint="eastAsia" w:ascii="宋体" w:hAnsi="宋体" w:cs="宋体"/>
          <w:szCs w:val="21"/>
        </w:rPr>
        <w:t xml:space="preserve"> </w:t>
      </w:r>
    </w:p>
    <w:p>
      <w:pPr>
        <w:snapToGrid w:val="0"/>
        <w:spacing w:before="332" w:after="332"/>
        <w:jc w:val="center"/>
        <w:outlineLvl w:val="1"/>
        <w:rPr>
          <w:rFonts w:ascii="宋体" w:hAnsi="宋体" w:cs="宋体"/>
          <w:b/>
          <w:iCs/>
          <w:w w:val="80"/>
          <w:sz w:val="44"/>
          <w:szCs w:val="44"/>
        </w:rPr>
      </w:pPr>
      <w:r>
        <w:rPr>
          <w:rFonts w:hint="eastAsia" w:ascii="宋体" w:hAnsi="宋体" w:cs="宋体"/>
          <w:b/>
          <w:iCs/>
          <w:color w:val="000000"/>
          <w:w w:val="80"/>
          <w:sz w:val="44"/>
          <w:szCs w:val="44"/>
        </w:rPr>
        <w:br w:type="page"/>
      </w:r>
    </w:p>
    <w:p>
      <w:pPr>
        <w:snapToGrid w:val="0"/>
        <w:spacing w:before="332" w:after="332"/>
        <w:jc w:val="center"/>
        <w:outlineLvl w:val="1"/>
        <w:rPr>
          <w:rFonts w:ascii="宋体" w:hAnsi="宋体" w:cs="宋体"/>
          <w:kern w:val="0"/>
          <w:sz w:val="24"/>
          <w:szCs w:val="24"/>
        </w:rPr>
      </w:pPr>
      <w:r>
        <w:rPr>
          <w:rFonts w:hint="eastAsia" w:ascii="宋体" w:hAnsi="宋体" w:cs="宋体"/>
          <w:b/>
          <w:iCs/>
          <w:w w:val="80"/>
          <w:sz w:val="44"/>
          <w:szCs w:val="44"/>
        </w:rPr>
        <w:t xml:space="preserve">第四章  </w:t>
      </w:r>
      <w:bookmarkStart w:id="15" w:name="_Toc38121794"/>
      <w:bookmarkStart w:id="16" w:name="_Toc37322565"/>
      <w:bookmarkStart w:id="17" w:name="_Toc85627670"/>
      <w:bookmarkStart w:id="18" w:name="_Toc182848996"/>
      <w:bookmarkStart w:id="19" w:name="_Toc43217893"/>
      <w:r>
        <w:rPr>
          <w:rFonts w:hint="eastAsia" w:ascii="宋体" w:hAnsi="宋体" w:cs="宋体"/>
          <w:b/>
          <w:iCs/>
          <w:w w:val="80"/>
          <w:sz w:val="44"/>
          <w:szCs w:val="44"/>
        </w:rPr>
        <w:t>评审方法和程序</w:t>
      </w:r>
    </w:p>
    <w:bookmarkEnd w:id="15"/>
    <w:bookmarkEnd w:id="16"/>
    <w:bookmarkEnd w:id="17"/>
    <w:bookmarkEnd w:id="18"/>
    <w:bookmarkEnd w:id="19"/>
    <w:p>
      <w:pPr>
        <w:snapToGrid w:val="0"/>
        <w:spacing w:line="520" w:lineRule="exact"/>
        <w:ind w:firstLine="422" w:firstLineChars="200"/>
        <w:outlineLvl w:val="1"/>
        <w:rPr>
          <w:rFonts w:ascii="宋体" w:hAnsi="宋体" w:cs="宋体"/>
          <w:b/>
          <w:szCs w:val="21"/>
        </w:rPr>
      </w:pPr>
      <w:bookmarkStart w:id="20" w:name="_Toc363573857"/>
      <w:bookmarkEnd w:id="20"/>
      <w:r>
        <w:rPr>
          <w:rFonts w:hint="eastAsia" w:ascii="宋体" w:hAnsi="宋体" w:cs="宋体"/>
          <w:b/>
          <w:szCs w:val="21"/>
        </w:rPr>
        <w:t>一、代理机构组织磋商</w:t>
      </w:r>
    </w:p>
    <w:p>
      <w:pPr>
        <w:snapToGrid w:val="0"/>
        <w:spacing w:line="520" w:lineRule="exact"/>
        <w:ind w:firstLine="420" w:firstLineChars="200"/>
        <w:rPr>
          <w:rFonts w:ascii="宋体" w:hAnsi="宋体" w:cs="宋体"/>
          <w:szCs w:val="21"/>
        </w:rPr>
      </w:pPr>
      <w:r>
        <w:rPr>
          <w:rFonts w:hint="eastAsia" w:ascii="宋体" w:hAnsi="宋体" w:cs="宋体"/>
          <w:szCs w:val="21"/>
        </w:rPr>
        <w:t>1、本次竞争性磋商依据《中华人民共和国政府采购法》《政府采购竞争性磋商采购方式管理暂行办法》及有关法规成立磋商小组。磋商小组由采购人代表和评审专家共3人以上单数组成。</w:t>
      </w:r>
    </w:p>
    <w:p>
      <w:pPr>
        <w:snapToGrid w:val="0"/>
        <w:spacing w:line="520" w:lineRule="exact"/>
        <w:ind w:firstLine="420" w:firstLineChars="200"/>
        <w:rPr>
          <w:rFonts w:ascii="宋体" w:hAnsi="宋体" w:cs="宋体"/>
          <w:szCs w:val="21"/>
        </w:rPr>
      </w:pPr>
      <w:r>
        <w:rPr>
          <w:rFonts w:hint="eastAsia" w:ascii="宋体" w:hAnsi="宋体" w:cs="宋体"/>
          <w:szCs w:val="21"/>
        </w:rPr>
        <w:t>2、磋商小组的职责：</w:t>
      </w:r>
    </w:p>
    <w:p>
      <w:pPr>
        <w:snapToGrid w:val="0"/>
        <w:spacing w:line="520" w:lineRule="exact"/>
        <w:ind w:firstLine="420" w:firstLineChars="200"/>
        <w:rPr>
          <w:rFonts w:ascii="宋体" w:hAnsi="宋体" w:cs="宋体"/>
          <w:szCs w:val="21"/>
        </w:rPr>
      </w:pPr>
      <w:r>
        <w:rPr>
          <w:rFonts w:hint="eastAsia" w:ascii="宋体" w:hAnsi="宋体" w:cs="宋体"/>
          <w:szCs w:val="21"/>
        </w:rPr>
        <w:t>（1）磋商小组成员应当按照客观、公正、审慎的原则，根据磋商文件规定的评审程序、评审方法和评审标准进行独立评审。</w:t>
      </w:r>
    </w:p>
    <w:p>
      <w:pPr>
        <w:snapToGrid w:val="0"/>
        <w:spacing w:line="520" w:lineRule="exact"/>
        <w:ind w:firstLine="420" w:firstLineChars="200"/>
        <w:rPr>
          <w:rFonts w:ascii="宋体" w:hAnsi="宋体" w:cs="宋体"/>
          <w:szCs w:val="21"/>
        </w:rPr>
      </w:pPr>
      <w:r>
        <w:rPr>
          <w:rFonts w:hint="eastAsia" w:ascii="宋体" w:hAnsi="宋体" w:cs="宋体"/>
          <w:szCs w:val="21"/>
        </w:rPr>
        <w:t>（2）磋商小组成员应当遵守评审工作纪律，不得泄露评审情况和评审中获悉的商业秘密，对个人的评审意见承担法律责任；</w:t>
      </w:r>
    </w:p>
    <w:p>
      <w:pPr>
        <w:snapToGrid w:val="0"/>
        <w:spacing w:line="520" w:lineRule="exact"/>
        <w:ind w:firstLine="420" w:firstLineChars="200"/>
        <w:rPr>
          <w:rFonts w:ascii="宋体" w:hAnsi="宋体" w:cs="宋体"/>
          <w:szCs w:val="21"/>
        </w:rPr>
      </w:pPr>
      <w:r>
        <w:rPr>
          <w:rFonts w:hint="eastAsia" w:ascii="宋体" w:hAnsi="宋体" w:cs="宋体"/>
          <w:szCs w:val="21"/>
        </w:rPr>
        <w:t>（3）磋商小组成员在评审过程中发现供应商有行贿、提供虚假材料或者串通等违法行为的，应当及时向财政部门报告。</w:t>
      </w:r>
    </w:p>
    <w:p>
      <w:pPr>
        <w:snapToGrid w:val="0"/>
        <w:spacing w:line="520" w:lineRule="exact"/>
        <w:ind w:firstLine="420" w:firstLineChars="200"/>
        <w:rPr>
          <w:rFonts w:ascii="宋体" w:hAnsi="宋体" w:cs="宋体"/>
          <w:szCs w:val="21"/>
        </w:rPr>
      </w:pPr>
      <w:r>
        <w:rPr>
          <w:rFonts w:hint="eastAsia" w:ascii="宋体" w:hAnsi="宋体" w:cs="宋体"/>
          <w:szCs w:val="21"/>
        </w:rPr>
        <w:t>（4）磋商小组成员在评审过程中受到非法干涉的，应当及时向财政、监察等部门举报。</w:t>
      </w:r>
    </w:p>
    <w:p>
      <w:pPr>
        <w:snapToGrid w:val="0"/>
        <w:spacing w:line="520" w:lineRule="exact"/>
        <w:ind w:firstLine="420" w:firstLineChars="200"/>
        <w:rPr>
          <w:rFonts w:ascii="宋体" w:hAnsi="宋体" w:cs="宋体"/>
          <w:szCs w:val="21"/>
        </w:rPr>
      </w:pPr>
      <w:r>
        <w:rPr>
          <w:rFonts w:hint="eastAsia" w:ascii="宋体" w:hAnsi="宋体" w:cs="宋体"/>
          <w:szCs w:val="21"/>
        </w:rPr>
        <w:t>（5）配合采购单位答复供应商提出的质疑；配合财政部门的投诉处理和监督检查工作。</w:t>
      </w:r>
    </w:p>
    <w:p>
      <w:pPr>
        <w:snapToGrid w:val="0"/>
        <w:spacing w:line="520" w:lineRule="exact"/>
        <w:ind w:firstLine="420" w:firstLineChars="200"/>
        <w:rPr>
          <w:rFonts w:ascii="宋体" w:hAnsi="宋体" w:cs="宋体"/>
          <w:szCs w:val="21"/>
        </w:rPr>
      </w:pPr>
      <w:r>
        <w:rPr>
          <w:rFonts w:hint="eastAsia" w:ascii="宋体" w:hAnsi="宋体" w:cs="宋体"/>
          <w:szCs w:val="21"/>
        </w:rPr>
        <w:t>3、评审有关记录由磋商小组成员签名，存档备查。</w:t>
      </w:r>
    </w:p>
    <w:p>
      <w:pPr>
        <w:snapToGrid w:val="0"/>
        <w:spacing w:line="520" w:lineRule="exact"/>
        <w:ind w:firstLine="420" w:firstLineChars="200"/>
        <w:rPr>
          <w:rFonts w:ascii="宋体" w:hAnsi="宋体" w:cs="宋体"/>
          <w:szCs w:val="21"/>
        </w:rPr>
      </w:pPr>
      <w:r>
        <w:rPr>
          <w:rFonts w:hint="eastAsia" w:ascii="宋体" w:hAnsi="宋体" w:cs="宋体"/>
          <w:szCs w:val="21"/>
        </w:rPr>
        <w:t>4、供应商的法定代表人或被授权人须持身份证准时参加磋商开标会。</w:t>
      </w:r>
    </w:p>
    <w:p>
      <w:pPr>
        <w:snapToGrid w:val="0"/>
        <w:spacing w:line="520" w:lineRule="exact"/>
        <w:ind w:firstLine="422" w:firstLineChars="200"/>
        <w:outlineLvl w:val="1"/>
        <w:rPr>
          <w:rFonts w:ascii="宋体" w:hAnsi="宋体" w:cs="宋体"/>
          <w:b/>
          <w:szCs w:val="21"/>
        </w:rPr>
      </w:pPr>
      <w:r>
        <w:rPr>
          <w:rFonts w:hint="eastAsia" w:ascii="宋体" w:hAnsi="宋体" w:cs="宋体"/>
          <w:b/>
          <w:szCs w:val="21"/>
        </w:rPr>
        <w:t>二、磋商的原则及方法</w:t>
      </w:r>
    </w:p>
    <w:p>
      <w:pPr>
        <w:snapToGrid w:val="0"/>
        <w:spacing w:line="520" w:lineRule="exact"/>
        <w:ind w:firstLine="420" w:firstLineChars="200"/>
        <w:rPr>
          <w:rFonts w:ascii="宋体" w:hAnsi="宋体" w:cs="宋体"/>
          <w:szCs w:val="21"/>
        </w:rPr>
      </w:pPr>
      <w:r>
        <w:rPr>
          <w:rFonts w:hint="eastAsia" w:ascii="宋体" w:hAnsi="宋体" w:cs="宋体"/>
          <w:szCs w:val="21"/>
        </w:rPr>
        <w:t>1、磋商小组依据《中华人民共和国政府采购法》《政府采购竞争性磋商采购方式管理暂行办法》以及有关政府采购的相关法规，遵循“公开、公平、公正、择优、信用”的原则进行磋商评审。</w:t>
      </w:r>
    </w:p>
    <w:p>
      <w:pPr>
        <w:snapToGrid w:val="0"/>
        <w:spacing w:line="520" w:lineRule="exact"/>
        <w:ind w:firstLine="424" w:firstLineChars="202"/>
        <w:rPr>
          <w:rFonts w:ascii="宋体" w:hAnsi="宋体" w:cs="宋体"/>
          <w:szCs w:val="21"/>
        </w:rPr>
      </w:pPr>
      <w:r>
        <w:rPr>
          <w:rFonts w:hint="eastAsia" w:ascii="宋体" w:hAnsi="宋体" w:cs="宋体"/>
          <w:szCs w:val="21"/>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520" w:lineRule="exact"/>
        <w:ind w:firstLine="424" w:firstLineChars="202"/>
        <w:rPr>
          <w:rFonts w:ascii="宋体" w:hAnsi="宋体" w:cs="宋体"/>
          <w:szCs w:val="21"/>
        </w:rPr>
      </w:pPr>
      <w:r>
        <w:rPr>
          <w:rFonts w:hint="eastAsia" w:ascii="宋体" w:hAnsi="宋体" w:cs="宋体"/>
          <w:szCs w:val="21"/>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520" w:lineRule="exact"/>
        <w:ind w:firstLine="420" w:firstLineChars="200"/>
        <w:rPr>
          <w:rFonts w:ascii="宋体" w:hAnsi="宋体" w:cs="宋体"/>
          <w:szCs w:val="21"/>
        </w:rPr>
      </w:pPr>
      <w:r>
        <w:rPr>
          <w:rFonts w:hint="eastAsia" w:ascii="宋体" w:hAnsi="宋体" w:cs="宋体"/>
          <w:szCs w:val="21"/>
        </w:rPr>
        <w:t>4、磋商小组所有成员应当集中与单一供应商分别进行磋商，并给予所有参加磋商的供应商平等的磋商机会。</w:t>
      </w:r>
    </w:p>
    <w:p>
      <w:pPr>
        <w:snapToGrid w:val="0"/>
        <w:spacing w:line="520" w:lineRule="exact"/>
        <w:ind w:firstLine="420" w:firstLineChars="200"/>
        <w:rPr>
          <w:rFonts w:ascii="宋体" w:hAnsi="宋体" w:cs="宋体"/>
          <w:szCs w:val="21"/>
        </w:rPr>
      </w:pPr>
      <w:r>
        <w:rPr>
          <w:rFonts w:hint="eastAsia" w:ascii="宋体" w:hAnsi="宋体" w:cs="宋体"/>
          <w:szCs w:val="21"/>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520" w:lineRule="exact"/>
        <w:ind w:firstLine="420" w:firstLineChars="200"/>
        <w:rPr>
          <w:rFonts w:ascii="宋体" w:hAnsi="宋体" w:cs="宋体"/>
          <w:szCs w:val="21"/>
        </w:rPr>
      </w:pPr>
      <w:r>
        <w:rPr>
          <w:rFonts w:hint="eastAsia" w:ascii="宋体" w:hAnsi="宋体" w:cs="宋体"/>
          <w:szCs w:val="21"/>
        </w:rPr>
        <w:t>6、对磋商文件作出的实质性变动是磋商文件的有效组成部分，磋商小组应当及时以书面形式同时通知所有参加磋商的供应商。</w:t>
      </w:r>
    </w:p>
    <w:p>
      <w:pPr>
        <w:snapToGrid w:val="0"/>
        <w:spacing w:line="520" w:lineRule="exact"/>
        <w:ind w:firstLine="420" w:firstLineChars="200"/>
        <w:rPr>
          <w:rFonts w:ascii="宋体" w:hAnsi="宋体" w:cs="宋体"/>
          <w:szCs w:val="21"/>
        </w:rPr>
      </w:pPr>
      <w:r>
        <w:rPr>
          <w:rFonts w:hint="eastAsia" w:ascii="宋体" w:hAnsi="宋体" w:cs="宋体"/>
          <w:szCs w:val="21"/>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520" w:lineRule="exact"/>
        <w:ind w:firstLine="420" w:firstLineChars="200"/>
        <w:rPr>
          <w:rFonts w:ascii="宋体" w:hAnsi="宋体" w:cs="宋体"/>
          <w:szCs w:val="21"/>
        </w:rPr>
      </w:pPr>
      <w:r>
        <w:rPr>
          <w:rFonts w:hint="eastAsia" w:ascii="宋体" w:hAnsi="宋体" w:cs="宋体"/>
          <w:szCs w:val="21"/>
        </w:rPr>
        <w:t>8、经磋商确定最终采购需求和提交最后报价的供应商：磋商文件能够详细列明采购标的的技术、服务要求的，磋商结束后，磋商小组应当要求所有实质性响应的供应商在规定时间内提交最后报价。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520" w:lineRule="exact"/>
        <w:ind w:firstLine="420" w:firstLineChars="200"/>
        <w:rPr>
          <w:rFonts w:ascii="宋体" w:hAnsi="宋体" w:cs="宋体"/>
          <w:szCs w:val="21"/>
        </w:rPr>
      </w:pPr>
      <w:r>
        <w:rPr>
          <w:rFonts w:hint="eastAsia" w:ascii="宋体" w:hAnsi="宋体" w:cs="宋体"/>
          <w:szCs w:val="21"/>
        </w:rPr>
        <w:t>9、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snapToGrid w:val="0"/>
        <w:spacing w:line="520" w:lineRule="exact"/>
        <w:ind w:firstLine="420" w:firstLineChars="200"/>
        <w:rPr>
          <w:rFonts w:ascii="宋体" w:hAnsi="宋体" w:cs="宋体"/>
          <w:szCs w:val="21"/>
        </w:rPr>
      </w:pPr>
      <w:r>
        <w:rPr>
          <w:rFonts w:hint="eastAsia" w:ascii="宋体" w:hAnsi="宋体" w:cs="宋体"/>
          <w:szCs w:val="21"/>
        </w:rPr>
        <w:t>10、除非在磋商中磋商小组对采购单位需求内容作了调整增加，或对采购内容作了实质性变更，否则</w:t>
      </w:r>
      <w:r>
        <w:rPr>
          <w:rFonts w:hint="eastAsia" w:ascii="宋体" w:hAnsi="宋体" w:cs="宋体"/>
          <w:b/>
          <w:szCs w:val="21"/>
        </w:rPr>
        <w:t>采购单位不接受供应商高于自己前一轮的磋商报价</w:t>
      </w:r>
      <w:r>
        <w:rPr>
          <w:rFonts w:hint="eastAsia" w:ascii="宋体" w:hAnsi="宋体" w:cs="宋体"/>
          <w:szCs w:val="21"/>
        </w:rPr>
        <w:t>。</w:t>
      </w:r>
    </w:p>
    <w:p>
      <w:pPr>
        <w:snapToGrid w:val="0"/>
        <w:spacing w:line="520" w:lineRule="exact"/>
        <w:ind w:firstLine="420" w:firstLineChars="200"/>
        <w:rPr>
          <w:rFonts w:ascii="宋体" w:hAnsi="宋体" w:cs="宋体"/>
          <w:szCs w:val="21"/>
        </w:rPr>
      </w:pPr>
      <w:r>
        <w:rPr>
          <w:rFonts w:hint="eastAsia" w:ascii="宋体" w:hAnsi="宋体" w:cs="宋体"/>
          <w:szCs w:val="21"/>
        </w:rPr>
        <w:t>11、对于在磋商顺利开始后至最终报价前，根据磋商情况退出磋商的供应商，须以书面形式说明退出磋商的原因，经磋商小组同意可以退出磋商。</w:t>
      </w:r>
    </w:p>
    <w:p>
      <w:pPr>
        <w:snapToGrid w:val="0"/>
        <w:spacing w:line="520" w:lineRule="exact"/>
        <w:ind w:firstLine="420" w:firstLineChars="200"/>
        <w:rPr>
          <w:rFonts w:ascii="宋体" w:hAnsi="宋体" w:cs="宋体"/>
          <w:szCs w:val="21"/>
        </w:rPr>
      </w:pPr>
      <w:r>
        <w:rPr>
          <w:rFonts w:hint="eastAsia" w:ascii="宋体" w:hAnsi="宋体" w:cs="宋体"/>
          <w:szCs w:val="21"/>
        </w:rPr>
        <w:t>12、在磋商中，磋商的任何一方不得透露与磋商有关的其他响应磋商的供应商的技术资料、价格及其他信息。</w:t>
      </w:r>
    </w:p>
    <w:p>
      <w:pPr>
        <w:snapToGrid w:val="0"/>
        <w:spacing w:line="520" w:lineRule="exact"/>
        <w:ind w:firstLine="420" w:firstLineChars="200"/>
        <w:rPr>
          <w:rFonts w:ascii="宋体" w:hAnsi="宋体"/>
          <w:szCs w:val="21"/>
        </w:rPr>
      </w:pPr>
      <w:r>
        <w:rPr>
          <w:rFonts w:hint="eastAsia" w:ascii="宋体" w:hAnsi="宋体" w:cs="宋体"/>
          <w:szCs w:val="21"/>
        </w:rPr>
        <w:t>13、</w:t>
      </w:r>
      <w:r>
        <w:rPr>
          <w:rFonts w:hint="eastAsia" w:ascii="宋体" w:hAnsi="宋体"/>
          <w:szCs w:val="21"/>
        </w:rPr>
        <w:t>单位负责人为同一人或者存在直接控股、管理关系的不同供应商，都不得在同一采购项目相同标段中同时参加磋商，一经发现，将视同围标处理。</w:t>
      </w:r>
    </w:p>
    <w:p>
      <w:pPr>
        <w:snapToGrid w:val="0"/>
        <w:spacing w:line="520" w:lineRule="exact"/>
        <w:ind w:firstLine="420" w:firstLineChars="200"/>
        <w:rPr>
          <w:rFonts w:ascii="宋体" w:hAnsi="宋体" w:cs="宋体"/>
          <w:szCs w:val="21"/>
        </w:rPr>
      </w:pPr>
      <w:r>
        <w:rPr>
          <w:rFonts w:hint="eastAsia" w:ascii="宋体" w:hAnsi="宋体" w:cs="宋体"/>
          <w:szCs w:val="21"/>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520" w:lineRule="exact"/>
        <w:ind w:firstLine="420" w:firstLineChars="200"/>
        <w:rPr>
          <w:rFonts w:ascii="宋体" w:hAnsi="宋体" w:cs="宋体"/>
          <w:szCs w:val="21"/>
        </w:rPr>
      </w:pPr>
      <w:r>
        <w:rPr>
          <w:rFonts w:hint="eastAsia" w:ascii="宋体" w:hAnsi="宋体" w:cs="宋体"/>
          <w:szCs w:val="21"/>
        </w:rPr>
        <w:t>15、</w:t>
      </w:r>
      <w:r>
        <w:rPr>
          <w:rFonts w:hint="eastAsia" w:ascii="宋体" w:hAnsi="宋体" w:cs="宋体"/>
          <w:b/>
          <w:bCs/>
          <w:szCs w:val="21"/>
        </w:rPr>
        <w:t>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520" w:lineRule="exact"/>
        <w:ind w:firstLine="420" w:firstLineChars="200"/>
        <w:rPr>
          <w:rFonts w:hint="eastAsia" w:ascii="宋体" w:hAnsi="宋体" w:cs="宋体"/>
          <w:szCs w:val="21"/>
        </w:rPr>
      </w:pPr>
      <w:r>
        <w:rPr>
          <w:rFonts w:hint="eastAsia" w:ascii="宋体" w:hAnsi="宋体" w:cs="宋体"/>
          <w:szCs w:val="21"/>
          <w:lang w:val="en-US" w:eastAsia="zh-CN"/>
        </w:rPr>
        <w:t>16</w:t>
      </w:r>
      <w:r>
        <w:rPr>
          <w:rFonts w:hint="eastAsia" w:ascii="宋体" w:hAnsi="宋体" w:cs="宋体"/>
          <w:szCs w:val="21"/>
        </w:rPr>
        <w:t>、政府采购政策功能落实</w:t>
      </w:r>
    </w:p>
    <w:p>
      <w:pPr>
        <w:snapToGrid w:val="0"/>
        <w:spacing w:line="520" w:lineRule="exact"/>
        <w:ind w:firstLine="420" w:firstLineChars="200"/>
        <w:rPr>
          <w:rFonts w:hint="eastAsia" w:ascii="宋体" w:hAnsi="宋体" w:cs="宋体"/>
          <w:szCs w:val="21"/>
        </w:rPr>
      </w:pPr>
      <w:r>
        <w:rPr>
          <w:rFonts w:hint="eastAsia" w:ascii="宋体" w:hAnsi="宋体" w:cs="宋体"/>
          <w:szCs w:val="21"/>
        </w:rPr>
        <w:t>小微型企业价格扣除</w:t>
      </w:r>
    </w:p>
    <w:p>
      <w:pPr>
        <w:snapToGrid w:val="0"/>
        <w:spacing w:line="520" w:lineRule="exact"/>
        <w:ind w:firstLine="420" w:firstLineChars="200"/>
        <w:rPr>
          <w:rFonts w:hint="eastAsia" w:ascii="宋体" w:hAnsi="宋体" w:cs="宋体"/>
          <w:szCs w:val="21"/>
        </w:rPr>
      </w:pPr>
      <w:r>
        <w:rPr>
          <w:rFonts w:hint="eastAsia" w:ascii="宋体" w:hAnsi="宋体" w:cs="宋体"/>
          <w:szCs w:val="21"/>
        </w:rPr>
        <w:t>（1）本项目对小型和微型企业产品给予6%（疫情防控期间按照10%执行）的扣除价格，用扣除后的价格参与评审。</w:t>
      </w:r>
    </w:p>
    <w:p>
      <w:pPr>
        <w:snapToGrid w:val="0"/>
        <w:spacing w:line="520" w:lineRule="exact"/>
        <w:ind w:firstLine="420" w:firstLineChars="200"/>
        <w:rPr>
          <w:rFonts w:hint="eastAsia" w:ascii="宋体" w:hAnsi="宋体" w:cs="宋体"/>
          <w:szCs w:val="21"/>
        </w:rPr>
      </w:pPr>
      <w:r>
        <w:rPr>
          <w:rFonts w:hint="eastAsia" w:ascii="宋体" w:hAnsi="宋体" w:cs="宋体"/>
          <w:szCs w:val="21"/>
        </w:rPr>
        <w:t>（2）供应商需按照采购文件的要求提供相应的《小型、微型企业声明函》。</w:t>
      </w:r>
    </w:p>
    <w:p>
      <w:pPr>
        <w:snapToGrid w:val="0"/>
        <w:spacing w:line="520" w:lineRule="exact"/>
        <w:ind w:firstLine="420" w:firstLineChars="200"/>
        <w:rPr>
          <w:rFonts w:hint="eastAsia" w:ascii="宋体" w:hAnsi="宋体" w:cs="宋体"/>
          <w:szCs w:val="21"/>
        </w:rPr>
      </w:pPr>
      <w:r>
        <w:rPr>
          <w:rFonts w:hint="eastAsia" w:ascii="宋体" w:hAnsi="宋体" w:cs="宋体"/>
          <w:szCs w:val="21"/>
        </w:rPr>
        <w:t>（3）企业标准请参照《关于印发中小企业划型标准规定的通知》（工信部联企业[2011]300号）文件规定自行填写。</w:t>
      </w:r>
    </w:p>
    <w:p>
      <w:pPr>
        <w:snapToGrid w:val="0"/>
        <w:spacing w:line="520" w:lineRule="exact"/>
        <w:ind w:firstLine="422" w:firstLineChars="200"/>
        <w:outlineLvl w:val="1"/>
        <w:rPr>
          <w:rFonts w:ascii="宋体" w:hAnsi="宋体" w:cs="宋体"/>
          <w:b/>
          <w:szCs w:val="21"/>
        </w:rPr>
      </w:pPr>
      <w:r>
        <w:rPr>
          <w:rFonts w:hint="eastAsia" w:ascii="宋体" w:hAnsi="宋体" w:cs="宋体"/>
          <w:b/>
          <w:szCs w:val="21"/>
        </w:rPr>
        <w:t>三、磋商评定结果的方法</w:t>
      </w:r>
    </w:p>
    <w:p>
      <w:pPr>
        <w:snapToGrid w:val="0"/>
        <w:spacing w:line="52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b/>
          <w:szCs w:val="21"/>
          <w:u w:val="single"/>
        </w:rPr>
        <w:t>经磋商确定最终采购需求和提交最后报价的供应商后，</w:t>
      </w:r>
      <w:r>
        <w:rPr>
          <w:rFonts w:hint="eastAsia" w:ascii="宋体" w:hAnsi="宋体" w:cs="宋体"/>
          <w:szCs w:val="21"/>
        </w:rPr>
        <w:t>由磋商小组采用综合评分法</w:t>
      </w:r>
      <w:r>
        <w:rPr>
          <w:rFonts w:hint="eastAsia" w:ascii="宋体" w:hAnsi="宋体" w:cs="宋体"/>
          <w:b/>
          <w:szCs w:val="21"/>
          <w:u w:val="single"/>
        </w:rPr>
        <w:t>对提交最后报价的供应商的响应文件和最后报价</w:t>
      </w:r>
      <w:r>
        <w:rPr>
          <w:rFonts w:hint="eastAsia" w:ascii="宋体" w:hAnsi="宋体" w:cs="宋体"/>
          <w:szCs w:val="21"/>
        </w:rPr>
        <w:t>进行综合评分。</w:t>
      </w:r>
    </w:p>
    <w:p>
      <w:pPr>
        <w:snapToGrid w:val="0"/>
        <w:spacing w:line="520" w:lineRule="exact"/>
        <w:ind w:firstLine="420" w:firstLineChars="200"/>
        <w:rPr>
          <w:rFonts w:ascii="宋体" w:hAnsi="宋体" w:cs="宋体"/>
          <w:szCs w:val="21"/>
        </w:rPr>
      </w:pPr>
      <w:r>
        <w:rPr>
          <w:rFonts w:hint="eastAsia" w:ascii="宋体" w:hAnsi="宋体" w:cs="宋体"/>
          <w:szCs w:val="21"/>
        </w:rPr>
        <w:t>2、评审时，磋商小组各成员应当独立对每个有效响应的文件进行评价、打分，然后汇总每个供应商每项评分因素的得分（计算结果均四舍五入保留两位小数）。</w:t>
      </w:r>
    </w:p>
    <w:p>
      <w:pPr>
        <w:snapToGrid w:val="0"/>
        <w:spacing w:line="520" w:lineRule="exact"/>
        <w:ind w:firstLine="420" w:firstLineChars="200"/>
        <w:rPr>
          <w:rFonts w:ascii="宋体" w:hAnsi="宋体" w:cs="宋体"/>
          <w:szCs w:val="21"/>
        </w:rPr>
      </w:pPr>
      <w:r>
        <w:rPr>
          <w:rFonts w:hint="eastAsia" w:ascii="宋体" w:hAnsi="宋体" w:cs="宋体"/>
          <w:szCs w:val="21"/>
        </w:rPr>
        <w:t xml:space="preserve">3、本次项目磋商的技术和商务报价评审总分值为100分。两部分评审因素比重如下： </w:t>
      </w:r>
    </w:p>
    <w:p>
      <w:pPr>
        <w:snapToGrid w:val="0"/>
        <w:spacing w:line="520" w:lineRule="exact"/>
        <w:ind w:firstLine="420" w:firstLineChars="200"/>
        <w:rPr>
          <w:rFonts w:ascii="宋体" w:hAnsi="宋体" w:cs="宋体"/>
          <w:szCs w:val="21"/>
        </w:rPr>
      </w:pPr>
      <w:r>
        <w:rPr>
          <w:rFonts w:hint="eastAsia" w:ascii="宋体" w:hAnsi="宋体" w:cs="宋体"/>
          <w:szCs w:val="21"/>
        </w:rPr>
        <w:t>技术分值占总分值的比重为</w:t>
      </w:r>
      <w:r>
        <w:rPr>
          <w:rFonts w:hint="eastAsia" w:ascii="宋体" w:hAnsi="宋体" w:cs="宋体"/>
          <w:b/>
          <w:szCs w:val="21"/>
          <w:u w:val="single"/>
        </w:rPr>
        <w:t>70%（权重）</w:t>
      </w:r>
      <w:r>
        <w:rPr>
          <w:rFonts w:hint="eastAsia" w:ascii="宋体" w:hAnsi="宋体" w:cs="宋体"/>
          <w:szCs w:val="21"/>
        </w:rPr>
        <w:t>（四舍五入保留两位小数）；</w:t>
      </w:r>
    </w:p>
    <w:p>
      <w:pPr>
        <w:snapToGrid w:val="0"/>
        <w:spacing w:line="520" w:lineRule="exact"/>
        <w:ind w:firstLine="420" w:firstLineChars="200"/>
        <w:rPr>
          <w:rFonts w:ascii="宋体" w:hAnsi="宋体" w:cs="宋体"/>
          <w:szCs w:val="21"/>
        </w:rPr>
      </w:pPr>
      <w:r>
        <w:rPr>
          <w:rFonts w:hint="eastAsia" w:ascii="宋体" w:hAnsi="宋体" w:cs="宋体"/>
          <w:szCs w:val="21"/>
        </w:rPr>
        <w:t>商务报价分值占总分值的比重为</w:t>
      </w:r>
      <w:r>
        <w:rPr>
          <w:rFonts w:hint="eastAsia" w:ascii="宋体" w:hAnsi="宋体" w:cs="宋体"/>
          <w:b/>
          <w:szCs w:val="21"/>
          <w:u w:val="single"/>
        </w:rPr>
        <w:t xml:space="preserve">30%（权重） </w:t>
      </w:r>
      <w:r>
        <w:rPr>
          <w:rFonts w:hint="eastAsia" w:ascii="宋体" w:hAnsi="宋体" w:cs="宋体"/>
          <w:szCs w:val="21"/>
        </w:rPr>
        <w:t>（四舍五入保留两位小数）。</w:t>
      </w:r>
    </w:p>
    <w:p>
      <w:pPr>
        <w:snapToGrid w:val="0"/>
        <w:spacing w:line="520" w:lineRule="exact"/>
        <w:ind w:firstLine="420" w:firstLineChars="200"/>
        <w:rPr>
          <w:rFonts w:ascii="宋体" w:hAnsi="宋体" w:cs="宋体"/>
          <w:szCs w:val="21"/>
        </w:rPr>
      </w:pPr>
      <w:r>
        <w:rPr>
          <w:rFonts w:hint="eastAsia" w:ascii="宋体" w:hAnsi="宋体" w:cs="宋体"/>
          <w:szCs w:val="21"/>
        </w:rPr>
        <w:t>4、技术分按算术平均值计算，分值四舍五入保留两位小数。</w:t>
      </w:r>
    </w:p>
    <w:p>
      <w:pPr>
        <w:snapToGrid w:val="0"/>
        <w:spacing w:line="520" w:lineRule="exact"/>
        <w:ind w:firstLine="420" w:firstLineChars="200"/>
        <w:rPr>
          <w:rFonts w:ascii="宋体" w:hAnsi="宋体" w:cs="宋体"/>
          <w:szCs w:val="21"/>
        </w:rPr>
      </w:pPr>
      <w:r>
        <w:rPr>
          <w:rFonts w:hint="eastAsia" w:ascii="宋体" w:hAnsi="宋体" w:cs="宋体"/>
          <w:szCs w:val="21"/>
        </w:rPr>
        <w:t>5、商务报价分统一采用低价优先法计算直接取得，与技术分相加为供应商的综合得分（四舍五入保留两位小数）。</w:t>
      </w:r>
    </w:p>
    <w:p>
      <w:pPr>
        <w:snapToGrid w:val="0"/>
        <w:spacing w:line="520" w:lineRule="exact"/>
        <w:ind w:firstLine="420" w:firstLineChars="200"/>
        <w:rPr>
          <w:rFonts w:ascii="宋体" w:hAnsi="宋体" w:cs="宋体"/>
          <w:szCs w:val="21"/>
        </w:rPr>
      </w:pPr>
      <w:r>
        <w:rPr>
          <w:rFonts w:hint="eastAsia" w:ascii="宋体" w:hAnsi="宋体" w:cs="宋体"/>
          <w:szCs w:val="21"/>
        </w:rPr>
        <w:t>6、综合得分最高的供应商推荐为项目预成交人并出具评审磋商报告。</w:t>
      </w:r>
    </w:p>
    <w:p>
      <w:pPr>
        <w:snapToGrid w:val="0"/>
        <w:spacing w:line="520" w:lineRule="exact"/>
        <w:ind w:firstLine="420" w:firstLineChars="200"/>
        <w:outlineLvl w:val="1"/>
        <w:rPr>
          <w:rFonts w:ascii="宋体" w:hAnsi="宋体" w:cs="宋体"/>
          <w:szCs w:val="21"/>
        </w:rPr>
      </w:pPr>
      <w:r>
        <w:rPr>
          <w:rFonts w:hint="eastAsia" w:ascii="宋体" w:hAnsi="宋体" w:cs="宋体"/>
          <w:szCs w:val="21"/>
        </w:rPr>
        <w:t xml:space="preserve">7、确定成交候选人的特殊情况处理： </w:t>
      </w:r>
    </w:p>
    <w:p>
      <w:pPr>
        <w:snapToGrid w:val="0"/>
        <w:spacing w:line="520" w:lineRule="exact"/>
        <w:ind w:firstLine="420" w:firstLineChars="200"/>
        <w:outlineLvl w:val="1"/>
        <w:rPr>
          <w:rFonts w:ascii="宋体" w:hAnsi="宋体" w:cs="宋体"/>
          <w:szCs w:val="21"/>
        </w:rPr>
      </w:pPr>
      <w:r>
        <w:rPr>
          <w:rFonts w:hint="eastAsia" w:ascii="宋体" w:hAnsi="宋体" w:cs="宋体"/>
          <w:szCs w:val="21"/>
        </w:rPr>
        <w:t>（1）若总分相同，则按最终报价响应得分高者优先中标。</w:t>
      </w:r>
    </w:p>
    <w:p>
      <w:pPr>
        <w:snapToGrid w:val="0"/>
        <w:spacing w:line="520" w:lineRule="exact"/>
        <w:ind w:firstLine="420" w:firstLineChars="200"/>
        <w:outlineLvl w:val="1"/>
        <w:rPr>
          <w:rFonts w:ascii="宋体" w:hAnsi="宋体" w:cs="宋体"/>
          <w:szCs w:val="21"/>
        </w:rPr>
      </w:pPr>
      <w:r>
        <w:rPr>
          <w:rFonts w:hint="eastAsia" w:ascii="宋体" w:hAnsi="宋体" w:cs="宋体"/>
          <w:szCs w:val="21"/>
        </w:rPr>
        <w:t>（2）若总分且最终报价响应得分相同，则采取现场抽签的方式确定（投标供应商的抽签顺序分别为各投标供应商递交响应文件签到顺序号）。</w:t>
      </w:r>
    </w:p>
    <w:p>
      <w:pPr>
        <w:snapToGrid w:val="0"/>
        <w:spacing w:line="520" w:lineRule="exact"/>
        <w:ind w:firstLine="420" w:firstLineChars="200"/>
        <w:rPr>
          <w:rFonts w:ascii="宋体" w:hAnsi="宋体" w:cs="宋体"/>
          <w:szCs w:val="21"/>
        </w:rPr>
      </w:pPr>
      <w:r>
        <w:rPr>
          <w:rFonts w:hint="eastAsia" w:ascii="宋体" w:hAnsi="宋体" w:cs="宋体"/>
          <w:szCs w:val="21"/>
        </w:rPr>
        <w:t>8、磋商评审时，评委对评审的细则若有争议，由磋商小组集体讨论确定，并对未尽情况有最终解释权。</w:t>
      </w:r>
    </w:p>
    <w:p>
      <w:pPr>
        <w:snapToGrid w:val="0"/>
        <w:spacing w:line="520" w:lineRule="exact"/>
        <w:ind w:firstLine="420" w:firstLineChars="200"/>
        <w:rPr>
          <w:rFonts w:ascii="宋体" w:hAnsi="宋体" w:cs="宋体"/>
          <w:szCs w:val="21"/>
        </w:rPr>
      </w:pPr>
      <w:r>
        <w:rPr>
          <w:rFonts w:hint="eastAsia" w:ascii="宋体" w:hAnsi="宋体" w:cs="宋体"/>
          <w:szCs w:val="21"/>
        </w:rPr>
        <w:t>9、对落标的供应商不做落标原因的解释。</w:t>
      </w:r>
    </w:p>
    <w:p>
      <w:pPr>
        <w:snapToGrid w:val="0"/>
        <w:spacing w:line="480" w:lineRule="exact"/>
        <w:ind w:firstLine="422" w:firstLineChars="200"/>
        <w:outlineLvl w:val="1"/>
        <w:rPr>
          <w:rFonts w:ascii="宋体" w:hAnsi="宋体" w:cs="宋体"/>
          <w:b/>
          <w:szCs w:val="21"/>
        </w:rPr>
      </w:pPr>
      <w:r>
        <w:rPr>
          <w:rFonts w:hint="eastAsia" w:ascii="宋体" w:hAnsi="宋体" w:cs="宋体"/>
          <w:b/>
          <w:szCs w:val="21"/>
        </w:rPr>
        <w:t>四、综合评分评审标准</w:t>
      </w:r>
    </w:p>
    <w:p>
      <w:pPr>
        <w:numPr>
          <w:ilvl w:val="0"/>
          <w:numId w:val="4"/>
        </w:numPr>
        <w:snapToGrid w:val="0"/>
        <w:spacing w:line="480" w:lineRule="exact"/>
        <w:ind w:firstLine="424" w:firstLineChars="202"/>
        <w:outlineLvl w:val="2"/>
        <w:rPr>
          <w:rFonts w:ascii="宋体" w:hAnsi="宋体" w:cs="宋体"/>
          <w:szCs w:val="21"/>
        </w:rPr>
      </w:pPr>
      <w:r>
        <w:rPr>
          <w:rFonts w:hint="eastAsia" w:ascii="宋体" w:hAnsi="宋体" w:cs="宋体"/>
          <w:szCs w:val="21"/>
        </w:rPr>
        <w:t>技术分：（70分）</w:t>
      </w:r>
    </w:p>
    <w:tbl>
      <w:tblPr>
        <w:tblStyle w:val="20"/>
        <w:tblW w:w="4879" w:type="pct"/>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1592"/>
        <w:gridCol w:w="635"/>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序号</w:t>
            </w:r>
          </w:p>
        </w:tc>
        <w:tc>
          <w:tcPr>
            <w:tcW w:w="867" w:type="pct"/>
            <w:vAlign w:val="center"/>
          </w:tcPr>
          <w:p>
            <w:pPr>
              <w:jc w:val="center"/>
              <w:rPr>
                <w:rFonts w:ascii="宋体" w:hAnsi="宋体" w:cs="宋体"/>
                <w:szCs w:val="21"/>
              </w:rPr>
            </w:pPr>
            <w:r>
              <w:rPr>
                <w:rFonts w:hint="eastAsia" w:ascii="宋体" w:hAnsi="宋体" w:cs="宋体"/>
                <w:szCs w:val="21"/>
              </w:rPr>
              <w:t>评分点名称</w:t>
            </w:r>
          </w:p>
        </w:tc>
        <w:tc>
          <w:tcPr>
            <w:tcW w:w="346" w:type="pct"/>
            <w:vAlign w:val="center"/>
          </w:tcPr>
          <w:p>
            <w:pPr>
              <w:jc w:val="center"/>
              <w:rPr>
                <w:rFonts w:ascii="宋体" w:hAnsi="宋体" w:cs="宋体"/>
                <w:szCs w:val="21"/>
              </w:rPr>
            </w:pPr>
            <w:r>
              <w:rPr>
                <w:rFonts w:hint="eastAsia" w:ascii="宋体" w:hAnsi="宋体" w:cs="宋体"/>
                <w:szCs w:val="21"/>
              </w:rPr>
              <w:t>分值</w:t>
            </w:r>
          </w:p>
        </w:tc>
        <w:tc>
          <w:tcPr>
            <w:tcW w:w="3438" w:type="pct"/>
            <w:vAlign w:val="center"/>
          </w:tcPr>
          <w:p>
            <w:pPr>
              <w:jc w:val="center"/>
              <w:rPr>
                <w:rFonts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1</w:t>
            </w:r>
          </w:p>
        </w:tc>
        <w:tc>
          <w:tcPr>
            <w:tcW w:w="867" w:type="pct"/>
            <w:vAlign w:val="center"/>
          </w:tcPr>
          <w:p>
            <w:pPr>
              <w:jc w:val="center"/>
              <w:rPr>
                <w:rFonts w:ascii="宋体" w:hAnsi="宋体" w:cs="宋体"/>
                <w:szCs w:val="21"/>
              </w:rPr>
            </w:pPr>
            <w:r>
              <w:rPr>
                <w:rFonts w:hint="eastAsia" w:ascii="宋体" w:hAnsi="宋体" w:cs="宋体"/>
                <w:szCs w:val="21"/>
              </w:rPr>
              <w:t>技术参数</w:t>
            </w:r>
          </w:p>
        </w:tc>
        <w:tc>
          <w:tcPr>
            <w:tcW w:w="346" w:type="pct"/>
            <w:vAlign w:val="center"/>
          </w:tcPr>
          <w:p>
            <w:pPr>
              <w:jc w:val="center"/>
              <w:rPr>
                <w:rFonts w:ascii="宋体" w:hAnsi="宋体" w:cs="宋体"/>
                <w:szCs w:val="21"/>
              </w:rPr>
            </w:pPr>
            <w:r>
              <w:rPr>
                <w:rFonts w:hint="eastAsia" w:ascii="宋体" w:hAnsi="宋体" w:cs="宋体"/>
                <w:szCs w:val="21"/>
              </w:rPr>
              <w:t>10</w:t>
            </w:r>
          </w:p>
        </w:tc>
        <w:tc>
          <w:tcPr>
            <w:tcW w:w="3438" w:type="pct"/>
            <w:vAlign w:val="center"/>
          </w:tcPr>
          <w:p>
            <w:pPr>
              <w:jc w:val="left"/>
              <w:rPr>
                <w:rFonts w:ascii="宋体" w:hAnsi="宋体" w:cs="宋体"/>
                <w:szCs w:val="21"/>
              </w:rPr>
            </w:pPr>
            <w:r>
              <w:rPr>
                <w:rFonts w:hint="eastAsia" w:ascii="宋体" w:hAnsi="宋体" w:cs="宋体"/>
                <w:szCs w:val="21"/>
              </w:rPr>
              <w:t>根据磋商文件中各项技术参数的规定，投标人的技术参数响应程度，配置的对应性、完整性、合理性、统一性、技术指标偏离度进行评分。完全满足磋商文件要求的，得5分；优于磋商文件要求的，有一项加1分，最多加5分。投标人所投产品参数低于磋商文件要求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2</w:t>
            </w:r>
          </w:p>
        </w:tc>
        <w:tc>
          <w:tcPr>
            <w:tcW w:w="867" w:type="pct"/>
            <w:vAlign w:val="center"/>
          </w:tcPr>
          <w:p>
            <w:pPr>
              <w:jc w:val="center"/>
              <w:rPr>
                <w:rFonts w:ascii="宋体" w:hAnsi="宋体" w:cs="宋体"/>
                <w:szCs w:val="21"/>
              </w:rPr>
            </w:pPr>
            <w:r>
              <w:rPr>
                <w:rFonts w:hint="eastAsia" w:ascii="宋体" w:hAnsi="宋体" w:cs="宋体"/>
                <w:szCs w:val="21"/>
              </w:rPr>
              <w:t>生产加工方案及供货方案</w:t>
            </w:r>
          </w:p>
        </w:tc>
        <w:tc>
          <w:tcPr>
            <w:tcW w:w="346" w:type="pct"/>
            <w:vAlign w:val="center"/>
          </w:tcPr>
          <w:p>
            <w:pPr>
              <w:jc w:val="center"/>
              <w:rPr>
                <w:rFonts w:ascii="宋体" w:hAnsi="宋体" w:cs="宋体"/>
                <w:szCs w:val="21"/>
              </w:rPr>
            </w:pPr>
            <w:r>
              <w:rPr>
                <w:rFonts w:hint="eastAsia" w:ascii="宋体" w:hAnsi="宋体" w:cs="宋体"/>
                <w:szCs w:val="21"/>
              </w:rPr>
              <w:t>14</w:t>
            </w:r>
          </w:p>
        </w:tc>
        <w:tc>
          <w:tcPr>
            <w:tcW w:w="3438" w:type="pct"/>
            <w:vAlign w:val="center"/>
          </w:tcPr>
          <w:p>
            <w:pPr>
              <w:jc w:val="left"/>
              <w:rPr>
                <w:rFonts w:ascii="宋体" w:hAnsi="宋体" w:cs="宋体"/>
                <w:szCs w:val="21"/>
              </w:rPr>
            </w:pPr>
            <w:r>
              <w:rPr>
                <w:rFonts w:hint="eastAsia" w:ascii="宋体" w:hAnsi="宋体" w:cs="宋体"/>
                <w:szCs w:val="21"/>
              </w:rPr>
              <w:t>由评委根据生产加工方案及供货方案的可靠性，综合考虑进度控制、质量保证措施等因素，优得12-14分，良得4-11分，中得1-4分，差不得分。不提供方案的本项不得分。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3</w:t>
            </w:r>
          </w:p>
        </w:tc>
        <w:tc>
          <w:tcPr>
            <w:tcW w:w="867" w:type="pct"/>
            <w:vAlign w:val="center"/>
          </w:tcPr>
          <w:p>
            <w:pPr>
              <w:jc w:val="center"/>
              <w:rPr>
                <w:rFonts w:ascii="宋体" w:hAnsi="宋体" w:cs="宋体"/>
                <w:szCs w:val="21"/>
              </w:rPr>
            </w:pPr>
            <w:r>
              <w:rPr>
                <w:rFonts w:hint="eastAsia" w:ascii="宋体" w:hAnsi="宋体" w:cs="宋体"/>
                <w:szCs w:val="21"/>
              </w:rPr>
              <w:t>投标供应商管理体系与认证</w:t>
            </w:r>
          </w:p>
        </w:tc>
        <w:tc>
          <w:tcPr>
            <w:tcW w:w="346" w:type="pct"/>
            <w:vAlign w:val="center"/>
          </w:tcPr>
          <w:p>
            <w:pPr>
              <w:jc w:val="center"/>
              <w:rPr>
                <w:rFonts w:ascii="宋体" w:hAnsi="宋体" w:cs="宋体"/>
                <w:szCs w:val="21"/>
              </w:rPr>
            </w:pPr>
            <w:r>
              <w:rPr>
                <w:rFonts w:hint="eastAsia" w:ascii="宋体" w:hAnsi="宋体" w:cs="宋体"/>
                <w:szCs w:val="21"/>
              </w:rPr>
              <w:t>6</w:t>
            </w:r>
          </w:p>
        </w:tc>
        <w:tc>
          <w:tcPr>
            <w:tcW w:w="3438" w:type="pct"/>
            <w:vAlign w:val="center"/>
          </w:tcPr>
          <w:p>
            <w:pPr>
              <w:jc w:val="left"/>
              <w:rPr>
                <w:rFonts w:ascii="宋体" w:hAnsi="宋体" w:cs="宋体"/>
                <w:szCs w:val="21"/>
              </w:rPr>
            </w:pPr>
            <w:r>
              <w:rPr>
                <w:rFonts w:hint="eastAsia" w:ascii="宋体" w:hAnsi="宋体" w:cs="宋体"/>
                <w:szCs w:val="21"/>
              </w:rPr>
              <w:t>根据投标供应商相关资质与信誉证书进行打分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3.1</w:t>
            </w:r>
          </w:p>
        </w:tc>
        <w:tc>
          <w:tcPr>
            <w:tcW w:w="867" w:type="pct"/>
            <w:vAlign w:val="center"/>
          </w:tcPr>
          <w:p>
            <w:pPr>
              <w:jc w:val="center"/>
              <w:rPr>
                <w:rFonts w:ascii="宋体" w:hAnsi="宋体" w:cs="宋体"/>
                <w:szCs w:val="21"/>
              </w:rPr>
            </w:pPr>
            <w:r>
              <w:rPr>
                <w:rFonts w:hint="eastAsia" w:ascii="宋体" w:hAnsi="宋体" w:cs="宋体"/>
                <w:szCs w:val="21"/>
              </w:rPr>
              <w:t>质量管理体系</w:t>
            </w:r>
          </w:p>
        </w:tc>
        <w:tc>
          <w:tcPr>
            <w:tcW w:w="346" w:type="pct"/>
            <w:vAlign w:val="center"/>
          </w:tcPr>
          <w:p>
            <w:pPr>
              <w:jc w:val="center"/>
              <w:rPr>
                <w:rFonts w:ascii="宋体" w:hAnsi="宋体" w:cs="宋体"/>
                <w:szCs w:val="21"/>
              </w:rPr>
            </w:pPr>
            <w:r>
              <w:rPr>
                <w:rFonts w:hint="eastAsia" w:ascii="宋体" w:hAnsi="宋体" w:cs="宋体"/>
                <w:szCs w:val="21"/>
              </w:rPr>
              <w:t>1</w:t>
            </w:r>
          </w:p>
        </w:tc>
        <w:tc>
          <w:tcPr>
            <w:tcW w:w="3438" w:type="pct"/>
            <w:vAlign w:val="center"/>
          </w:tcPr>
          <w:p>
            <w:pPr>
              <w:jc w:val="left"/>
              <w:rPr>
                <w:rFonts w:ascii="宋体" w:hAnsi="宋体" w:cs="宋体"/>
                <w:szCs w:val="21"/>
              </w:rPr>
            </w:pPr>
            <w:r>
              <w:rPr>
                <w:rFonts w:hint="eastAsia" w:ascii="宋体" w:hAnsi="宋体" w:cs="宋体"/>
                <w:szCs w:val="21"/>
              </w:rPr>
              <w:t>投标供应商获得“质量管理体系认证证书”，证书覆盖范围需包括木质家具的设计、销售范围；（提供证书复印件，原件备查）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3.2</w:t>
            </w:r>
          </w:p>
        </w:tc>
        <w:tc>
          <w:tcPr>
            <w:tcW w:w="867" w:type="pct"/>
            <w:vAlign w:val="center"/>
          </w:tcPr>
          <w:p>
            <w:pPr>
              <w:jc w:val="center"/>
              <w:rPr>
                <w:rFonts w:ascii="宋体" w:hAnsi="宋体" w:cs="宋体"/>
                <w:szCs w:val="21"/>
              </w:rPr>
            </w:pPr>
            <w:r>
              <w:rPr>
                <w:rFonts w:hint="eastAsia" w:ascii="宋体" w:hAnsi="宋体" w:cs="宋体"/>
                <w:szCs w:val="21"/>
              </w:rPr>
              <w:t>环境管理体系</w:t>
            </w:r>
          </w:p>
        </w:tc>
        <w:tc>
          <w:tcPr>
            <w:tcW w:w="346" w:type="pct"/>
            <w:vAlign w:val="center"/>
          </w:tcPr>
          <w:p>
            <w:pPr>
              <w:jc w:val="center"/>
              <w:rPr>
                <w:rFonts w:ascii="宋体" w:hAnsi="宋体" w:cs="宋体"/>
                <w:szCs w:val="21"/>
              </w:rPr>
            </w:pPr>
            <w:r>
              <w:rPr>
                <w:rFonts w:hint="eastAsia" w:ascii="宋体" w:hAnsi="宋体" w:cs="宋体"/>
                <w:szCs w:val="21"/>
              </w:rPr>
              <w:t>1</w:t>
            </w:r>
          </w:p>
        </w:tc>
        <w:tc>
          <w:tcPr>
            <w:tcW w:w="3438" w:type="pct"/>
            <w:vAlign w:val="center"/>
          </w:tcPr>
          <w:p>
            <w:pPr>
              <w:jc w:val="left"/>
              <w:rPr>
                <w:rFonts w:ascii="宋体" w:hAnsi="宋体" w:cs="宋体"/>
                <w:szCs w:val="21"/>
              </w:rPr>
            </w:pPr>
            <w:r>
              <w:rPr>
                <w:rFonts w:hint="eastAsia" w:ascii="宋体" w:hAnsi="宋体" w:cs="宋体"/>
                <w:szCs w:val="21"/>
              </w:rPr>
              <w:t>投标供应商获得“环境管理体系认证证书”，证书覆盖范围需包括木质家具的设计、销售范围；（提供证书复印件，原件备查）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3.3</w:t>
            </w:r>
          </w:p>
        </w:tc>
        <w:tc>
          <w:tcPr>
            <w:tcW w:w="867" w:type="pct"/>
            <w:vAlign w:val="center"/>
          </w:tcPr>
          <w:p>
            <w:pPr>
              <w:jc w:val="center"/>
              <w:rPr>
                <w:rFonts w:ascii="宋体" w:hAnsi="宋体" w:cs="宋体"/>
                <w:szCs w:val="21"/>
              </w:rPr>
            </w:pPr>
            <w:r>
              <w:rPr>
                <w:rFonts w:hint="eastAsia" w:ascii="宋体" w:hAnsi="宋体" w:cs="宋体"/>
                <w:szCs w:val="21"/>
              </w:rPr>
              <w:t>职业健康安全</w:t>
            </w:r>
          </w:p>
        </w:tc>
        <w:tc>
          <w:tcPr>
            <w:tcW w:w="346" w:type="pct"/>
            <w:vAlign w:val="center"/>
          </w:tcPr>
          <w:p>
            <w:pPr>
              <w:jc w:val="center"/>
              <w:rPr>
                <w:rFonts w:ascii="宋体" w:hAnsi="宋体" w:cs="宋体"/>
                <w:szCs w:val="21"/>
              </w:rPr>
            </w:pPr>
            <w:r>
              <w:rPr>
                <w:rFonts w:hint="eastAsia" w:ascii="宋体" w:hAnsi="宋体" w:cs="宋体"/>
                <w:szCs w:val="21"/>
              </w:rPr>
              <w:t>1</w:t>
            </w:r>
          </w:p>
        </w:tc>
        <w:tc>
          <w:tcPr>
            <w:tcW w:w="3438" w:type="pct"/>
            <w:vAlign w:val="center"/>
          </w:tcPr>
          <w:p>
            <w:pPr>
              <w:jc w:val="left"/>
              <w:rPr>
                <w:rFonts w:ascii="宋体" w:hAnsi="宋体" w:cs="宋体"/>
                <w:szCs w:val="21"/>
              </w:rPr>
            </w:pPr>
            <w:r>
              <w:rPr>
                <w:rFonts w:hint="eastAsia" w:ascii="宋体" w:hAnsi="宋体" w:cs="宋体"/>
                <w:szCs w:val="21"/>
              </w:rPr>
              <w:t>投标供应商获得“职业健康安全管理体系认证证书”，证书覆盖范围需包括木质家具的设计、销售范围；（提供证书复印件，原件备查）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3.4</w:t>
            </w:r>
          </w:p>
        </w:tc>
        <w:tc>
          <w:tcPr>
            <w:tcW w:w="867" w:type="pct"/>
            <w:vAlign w:val="center"/>
          </w:tcPr>
          <w:p>
            <w:pPr>
              <w:jc w:val="center"/>
              <w:rPr>
                <w:rFonts w:ascii="宋体" w:hAnsi="宋体" w:cs="宋体"/>
                <w:szCs w:val="21"/>
              </w:rPr>
            </w:pPr>
            <w:r>
              <w:rPr>
                <w:rFonts w:hint="eastAsia" w:ascii="宋体" w:hAnsi="宋体" w:cs="宋体"/>
                <w:szCs w:val="21"/>
              </w:rPr>
              <w:t>环保产品认证</w:t>
            </w:r>
          </w:p>
        </w:tc>
        <w:tc>
          <w:tcPr>
            <w:tcW w:w="346" w:type="pct"/>
            <w:vAlign w:val="center"/>
          </w:tcPr>
          <w:p>
            <w:pPr>
              <w:jc w:val="center"/>
              <w:rPr>
                <w:rFonts w:ascii="宋体" w:hAnsi="宋体" w:cs="宋体"/>
                <w:szCs w:val="21"/>
              </w:rPr>
            </w:pPr>
            <w:r>
              <w:rPr>
                <w:rFonts w:hint="eastAsia" w:ascii="宋体" w:hAnsi="宋体" w:cs="宋体"/>
                <w:szCs w:val="21"/>
              </w:rPr>
              <w:t>1</w:t>
            </w:r>
          </w:p>
        </w:tc>
        <w:tc>
          <w:tcPr>
            <w:tcW w:w="3438" w:type="pct"/>
            <w:vAlign w:val="center"/>
          </w:tcPr>
          <w:p>
            <w:pPr>
              <w:jc w:val="left"/>
              <w:rPr>
                <w:rFonts w:ascii="宋体" w:hAnsi="宋体" w:cs="宋体"/>
                <w:szCs w:val="21"/>
              </w:rPr>
            </w:pPr>
            <w:r>
              <w:rPr>
                <w:rFonts w:hint="eastAsia" w:ascii="宋体" w:hAnsi="宋体" w:cs="宋体"/>
                <w:szCs w:val="21"/>
              </w:rPr>
              <w:t>投标供应商获得中国环保产品认证证书，认证范围须包括：办公桌、会议桌、文件柜、茶几；（提供证书复印件，原件备查）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3.5</w:t>
            </w:r>
          </w:p>
        </w:tc>
        <w:tc>
          <w:tcPr>
            <w:tcW w:w="867" w:type="pct"/>
            <w:vAlign w:val="center"/>
          </w:tcPr>
          <w:p>
            <w:pPr>
              <w:jc w:val="center"/>
              <w:rPr>
                <w:rFonts w:ascii="宋体" w:hAnsi="宋体" w:cs="宋体"/>
                <w:szCs w:val="21"/>
              </w:rPr>
            </w:pPr>
            <w:r>
              <w:rPr>
                <w:rFonts w:hint="eastAsia" w:ascii="宋体" w:hAnsi="宋体" w:cs="宋体"/>
                <w:szCs w:val="21"/>
              </w:rPr>
              <w:t>环境标志认证</w:t>
            </w:r>
          </w:p>
        </w:tc>
        <w:tc>
          <w:tcPr>
            <w:tcW w:w="346" w:type="pct"/>
            <w:vAlign w:val="center"/>
          </w:tcPr>
          <w:p>
            <w:pPr>
              <w:jc w:val="center"/>
              <w:rPr>
                <w:rFonts w:ascii="宋体" w:hAnsi="宋体" w:cs="宋体"/>
                <w:szCs w:val="21"/>
              </w:rPr>
            </w:pPr>
            <w:r>
              <w:rPr>
                <w:rFonts w:hint="eastAsia" w:ascii="宋体" w:hAnsi="宋体" w:cs="宋体"/>
                <w:szCs w:val="21"/>
              </w:rPr>
              <w:t>1</w:t>
            </w:r>
          </w:p>
        </w:tc>
        <w:tc>
          <w:tcPr>
            <w:tcW w:w="3438" w:type="pct"/>
            <w:vAlign w:val="center"/>
          </w:tcPr>
          <w:p>
            <w:pPr>
              <w:jc w:val="left"/>
              <w:rPr>
                <w:rFonts w:ascii="宋体" w:hAnsi="宋体" w:cs="宋体"/>
                <w:szCs w:val="21"/>
              </w:rPr>
            </w:pPr>
            <w:r>
              <w:rPr>
                <w:rFonts w:hint="eastAsia" w:ascii="宋体" w:hAnsi="宋体" w:cs="宋体"/>
                <w:szCs w:val="21"/>
              </w:rPr>
              <w:t>投标供应商获得中国环境标志产品认证证书，认证范围须包括：木制家具；（提供证书复印件，原件备查）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3.6</w:t>
            </w:r>
          </w:p>
        </w:tc>
        <w:tc>
          <w:tcPr>
            <w:tcW w:w="867" w:type="pct"/>
            <w:vAlign w:val="center"/>
          </w:tcPr>
          <w:p>
            <w:pPr>
              <w:jc w:val="center"/>
              <w:rPr>
                <w:rFonts w:ascii="宋体" w:hAnsi="宋体" w:cs="宋体"/>
                <w:szCs w:val="21"/>
              </w:rPr>
            </w:pPr>
            <w:r>
              <w:rPr>
                <w:rFonts w:hint="eastAsia" w:ascii="宋体" w:hAnsi="宋体" w:cs="宋体"/>
                <w:szCs w:val="21"/>
              </w:rPr>
              <w:t>重合同守信用企业</w:t>
            </w:r>
          </w:p>
        </w:tc>
        <w:tc>
          <w:tcPr>
            <w:tcW w:w="346" w:type="pct"/>
            <w:vAlign w:val="center"/>
          </w:tcPr>
          <w:p>
            <w:pPr>
              <w:jc w:val="center"/>
              <w:rPr>
                <w:rFonts w:ascii="宋体" w:hAnsi="宋体" w:cs="宋体"/>
                <w:szCs w:val="21"/>
              </w:rPr>
            </w:pPr>
            <w:r>
              <w:rPr>
                <w:rFonts w:hint="eastAsia" w:ascii="宋体" w:hAnsi="宋体" w:cs="宋体"/>
                <w:szCs w:val="21"/>
              </w:rPr>
              <w:t>1</w:t>
            </w:r>
          </w:p>
        </w:tc>
        <w:tc>
          <w:tcPr>
            <w:tcW w:w="3438" w:type="pct"/>
            <w:vAlign w:val="center"/>
          </w:tcPr>
          <w:p>
            <w:pPr>
              <w:jc w:val="left"/>
              <w:rPr>
                <w:rFonts w:ascii="宋体" w:hAnsi="宋体" w:cs="宋体"/>
                <w:szCs w:val="21"/>
              </w:rPr>
            </w:pPr>
            <w:r>
              <w:rPr>
                <w:rFonts w:hint="eastAsia" w:ascii="宋体" w:hAnsi="宋体" w:cs="宋体"/>
                <w:szCs w:val="21"/>
              </w:rPr>
              <w:t>投标供应商获得重合同守信用企业证书。（提供证书复印件，原件备查）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4</w:t>
            </w:r>
          </w:p>
        </w:tc>
        <w:tc>
          <w:tcPr>
            <w:tcW w:w="867" w:type="pct"/>
            <w:vAlign w:val="center"/>
          </w:tcPr>
          <w:p>
            <w:pPr>
              <w:jc w:val="center"/>
              <w:rPr>
                <w:rFonts w:ascii="宋体" w:hAnsi="宋体" w:cs="宋体"/>
                <w:szCs w:val="21"/>
              </w:rPr>
            </w:pPr>
            <w:r>
              <w:rPr>
                <w:rFonts w:hint="eastAsia" w:ascii="宋体" w:hAnsi="宋体" w:cs="宋体"/>
                <w:szCs w:val="21"/>
              </w:rPr>
              <w:t>业绩</w:t>
            </w:r>
          </w:p>
        </w:tc>
        <w:tc>
          <w:tcPr>
            <w:tcW w:w="346" w:type="pct"/>
            <w:vAlign w:val="center"/>
          </w:tcPr>
          <w:p>
            <w:pPr>
              <w:jc w:val="center"/>
              <w:rPr>
                <w:rFonts w:ascii="宋体" w:hAnsi="宋体" w:cs="宋体"/>
                <w:szCs w:val="21"/>
              </w:rPr>
            </w:pPr>
            <w:r>
              <w:rPr>
                <w:rFonts w:hint="eastAsia" w:ascii="宋体" w:hAnsi="宋体" w:cs="宋体"/>
                <w:szCs w:val="21"/>
              </w:rPr>
              <w:t>4</w:t>
            </w:r>
          </w:p>
        </w:tc>
        <w:tc>
          <w:tcPr>
            <w:tcW w:w="3438" w:type="pct"/>
            <w:vAlign w:val="center"/>
          </w:tcPr>
          <w:p>
            <w:pPr>
              <w:jc w:val="left"/>
              <w:rPr>
                <w:rFonts w:ascii="宋体" w:hAnsi="宋体" w:cs="宋体"/>
                <w:szCs w:val="21"/>
              </w:rPr>
            </w:pPr>
            <w:r>
              <w:rPr>
                <w:rFonts w:hint="eastAsia" w:ascii="宋体" w:hAnsi="宋体" w:cs="宋体"/>
                <w:szCs w:val="21"/>
              </w:rPr>
              <w:t>提供近2017年10月1日以来承担的类似家具合同业绩证明，单项合同金额≥12万元（人民币）的，每有一份得1分，单项合同金额≥24万元（人民币）的，每有一份得2分；本项最高得4分。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5</w:t>
            </w:r>
          </w:p>
        </w:tc>
        <w:tc>
          <w:tcPr>
            <w:tcW w:w="867" w:type="pct"/>
            <w:vAlign w:val="center"/>
          </w:tcPr>
          <w:p>
            <w:pPr>
              <w:jc w:val="center"/>
              <w:rPr>
                <w:rFonts w:ascii="宋体" w:hAnsi="宋体" w:cs="宋体"/>
                <w:szCs w:val="21"/>
              </w:rPr>
            </w:pPr>
            <w:r>
              <w:rPr>
                <w:rFonts w:hint="eastAsia" w:ascii="宋体" w:hAnsi="宋体" w:cs="宋体"/>
                <w:szCs w:val="21"/>
              </w:rPr>
              <w:t>售后服务</w:t>
            </w:r>
          </w:p>
        </w:tc>
        <w:tc>
          <w:tcPr>
            <w:tcW w:w="346" w:type="pct"/>
            <w:vAlign w:val="center"/>
          </w:tcPr>
          <w:p>
            <w:pPr>
              <w:jc w:val="center"/>
              <w:rPr>
                <w:rFonts w:ascii="宋体" w:hAnsi="宋体" w:cs="宋体"/>
                <w:szCs w:val="21"/>
              </w:rPr>
            </w:pPr>
            <w:r>
              <w:rPr>
                <w:rFonts w:hint="eastAsia" w:ascii="宋体" w:hAnsi="宋体" w:cs="宋体"/>
                <w:szCs w:val="21"/>
              </w:rPr>
              <w:t>6</w:t>
            </w:r>
          </w:p>
        </w:tc>
        <w:tc>
          <w:tcPr>
            <w:tcW w:w="3438" w:type="pct"/>
            <w:vAlign w:val="center"/>
          </w:tcPr>
          <w:p>
            <w:pPr>
              <w:jc w:val="left"/>
              <w:rPr>
                <w:rFonts w:ascii="宋体" w:hAnsi="宋体" w:cs="宋体"/>
                <w:szCs w:val="21"/>
              </w:rPr>
            </w:pPr>
            <w:r>
              <w:rPr>
                <w:rFonts w:hint="eastAsia" w:ascii="宋体" w:hAnsi="宋体" w:cs="宋体"/>
                <w:szCs w:val="21"/>
              </w:rPr>
              <w:t>根据提供的售后服务方案进行打分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5.1</w:t>
            </w:r>
          </w:p>
        </w:tc>
        <w:tc>
          <w:tcPr>
            <w:tcW w:w="867" w:type="pct"/>
            <w:vAlign w:val="center"/>
          </w:tcPr>
          <w:p>
            <w:pPr>
              <w:jc w:val="center"/>
              <w:rPr>
                <w:rFonts w:ascii="宋体" w:hAnsi="宋体" w:cs="宋体"/>
                <w:szCs w:val="21"/>
              </w:rPr>
            </w:pPr>
            <w:r>
              <w:rPr>
                <w:rFonts w:hint="eastAsia" w:ascii="宋体" w:hAnsi="宋体" w:cs="宋体"/>
                <w:szCs w:val="21"/>
              </w:rPr>
              <w:t>质量保证期</w:t>
            </w:r>
          </w:p>
        </w:tc>
        <w:tc>
          <w:tcPr>
            <w:tcW w:w="346" w:type="pct"/>
            <w:vAlign w:val="center"/>
          </w:tcPr>
          <w:p>
            <w:pPr>
              <w:jc w:val="center"/>
              <w:rPr>
                <w:rFonts w:ascii="宋体" w:hAnsi="宋体" w:cs="宋体"/>
                <w:szCs w:val="21"/>
              </w:rPr>
            </w:pPr>
            <w:r>
              <w:rPr>
                <w:rFonts w:hint="eastAsia" w:ascii="宋体" w:hAnsi="宋体" w:cs="宋体"/>
                <w:szCs w:val="21"/>
              </w:rPr>
              <w:t>3</w:t>
            </w:r>
          </w:p>
        </w:tc>
        <w:tc>
          <w:tcPr>
            <w:tcW w:w="3438" w:type="pct"/>
            <w:vAlign w:val="center"/>
          </w:tcPr>
          <w:p>
            <w:pPr>
              <w:jc w:val="left"/>
              <w:rPr>
                <w:rFonts w:ascii="宋体" w:hAnsi="宋体" w:cs="宋体"/>
                <w:szCs w:val="21"/>
              </w:rPr>
            </w:pPr>
            <w:r>
              <w:rPr>
                <w:rFonts w:hint="eastAsia" w:ascii="宋体" w:hAnsi="宋体" w:cs="宋体"/>
                <w:szCs w:val="21"/>
              </w:rPr>
              <w:t>所投产品免费质保至少两年，每超过一年得1分，最多得3分。质保期不满两年的作无效投标处理。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ascii="宋体" w:hAnsi="宋体" w:cs="宋体"/>
                <w:szCs w:val="21"/>
              </w:rPr>
            </w:pPr>
            <w:r>
              <w:rPr>
                <w:rFonts w:hint="eastAsia" w:ascii="宋体" w:hAnsi="宋体" w:cs="宋体"/>
                <w:szCs w:val="21"/>
              </w:rPr>
              <w:t>5.2</w:t>
            </w:r>
          </w:p>
        </w:tc>
        <w:tc>
          <w:tcPr>
            <w:tcW w:w="867" w:type="pct"/>
            <w:vAlign w:val="center"/>
          </w:tcPr>
          <w:p>
            <w:pPr>
              <w:jc w:val="center"/>
              <w:rPr>
                <w:rFonts w:ascii="宋体" w:hAnsi="宋体" w:cs="宋体"/>
                <w:szCs w:val="21"/>
              </w:rPr>
            </w:pPr>
            <w:r>
              <w:rPr>
                <w:rFonts w:hint="eastAsia" w:ascii="宋体" w:hAnsi="宋体" w:cs="宋体"/>
                <w:szCs w:val="21"/>
              </w:rPr>
              <w:t>维修响应</w:t>
            </w:r>
          </w:p>
        </w:tc>
        <w:tc>
          <w:tcPr>
            <w:tcW w:w="346" w:type="pct"/>
            <w:vAlign w:val="center"/>
          </w:tcPr>
          <w:p>
            <w:pPr>
              <w:jc w:val="center"/>
              <w:rPr>
                <w:rFonts w:ascii="宋体" w:hAnsi="宋体" w:cs="宋体"/>
                <w:szCs w:val="21"/>
              </w:rPr>
            </w:pPr>
            <w:r>
              <w:rPr>
                <w:rFonts w:hint="eastAsia" w:ascii="宋体" w:hAnsi="宋体" w:cs="宋体"/>
                <w:szCs w:val="21"/>
              </w:rPr>
              <w:t>3</w:t>
            </w:r>
          </w:p>
        </w:tc>
        <w:tc>
          <w:tcPr>
            <w:tcW w:w="3438" w:type="pct"/>
            <w:vAlign w:val="center"/>
          </w:tcPr>
          <w:p>
            <w:pPr>
              <w:jc w:val="left"/>
              <w:rPr>
                <w:rFonts w:ascii="宋体" w:hAnsi="宋体" w:cs="宋体"/>
                <w:szCs w:val="21"/>
              </w:rPr>
            </w:pPr>
            <w:r>
              <w:rPr>
                <w:rFonts w:hint="eastAsia" w:ascii="宋体" w:hAnsi="宋体" w:cs="宋体"/>
                <w:szCs w:val="21"/>
              </w:rPr>
              <w:t>根据供应商对产品维修承诺的响应时间横向比较，综合得1-3分。不提供维修响应承诺不得分。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867" w:type="pct"/>
            <w:vAlign w:val="center"/>
          </w:tcPr>
          <w:p>
            <w:pPr>
              <w:jc w:val="center"/>
              <w:rPr>
                <w:rFonts w:ascii="宋体" w:hAnsi="宋体" w:cs="宋体"/>
                <w:szCs w:val="21"/>
              </w:rPr>
            </w:pPr>
            <w:r>
              <w:rPr>
                <w:rFonts w:hint="eastAsia" w:ascii="宋体" w:hAnsi="宋体" w:cs="宋体"/>
                <w:szCs w:val="21"/>
              </w:rPr>
              <w:t>样品</w:t>
            </w:r>
          </w:p>
        </w:tc>
        <w:tc>
          <w:tcPr>
            <w:tcW w:w="346" w:type="pct"/>
            <w:vAlign w:val="center"/>
          </w:tcPr>
          <w:p>
            <w:pPr>
              <w:jc w:val="center"/>
              <w:rPr>
                <w:rFonts w:hint="eastAsia" w:ascii="宋体" w:hAnsi="宋体" w:cs="宋体"/>
                <w:szCs w:val="21"/>
              </w:rPr>
            </w:pPr>
            <w:r>
              <w:rPr>
                <w:rFonts w:hint="eastAsia" w:ascii="宋体" w:hAnsi="宋体" w:cs="宋体"/>
                <w:szCs w:val="21"/>
              </w:rPr>
              <w:t>30</w:t>
            </w:r>
          </w:p>
        </w:tc>
        <w:tc>
          <w:tcPr>
            <w:tcW w:w="3438" w:type="pct"/>
            <w:vAlign w:val="center"/>
          </w:tcPr>
          <w:p>
            <w:pPr>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w:t>
            </w:r>
            <w:r>
              <w:rPr>
                <w:rFonts w:hint="eastAsia" w:ascii="宋体" w:hAnsi="宋体" w:cs="宋体"/>
                <w:szCs w:val="21"/>
              </w:rPr>
              <w:t>）出样产品的款式、尺寸（符合招标要求）的符合性，优得3-6分（尺寸完全符合），一般得1-2分（含尺寸正负5%内），差得0分；</w:t>
            </w:r>
          </w:p>
          <w:p>
            <w:pPr>
              <w:jc w:val="left"/>
              <w:rPr>
                <w:rFonts w:hint="eastAsia" w:ascii="宋体" w:hAnsi="宋体" w:cs="宋体"/>
                <w:szCs w:val="21"/>
              </w:rPr>
            </w:pPr>
            <w:r>
              <w:rPr>
                <w:rFonts w:hint="eastAsia" w:ascii="宋体" w:hAnsi="宋体" w:cs="宋体"/>
                <w:szCs w:val="21"/>
              </w:rPr>
              <w:t>（2）出样产品的材质，优得3-6分，一般得1-2分，差得0分；</w:t>
            </w:r>
          </w:p>
          <w:p>
            <w:pPr>
              <w:jc w:val="left"/>
              <w:rPr>
                <w:rFonts w:hint="eastAsia" w:ascii="宋体" w:hAnsi="宋体" w:cs="宋体"/>
                <w:szCs w:val="21"/>
              </w:rPr>
            </w:pPr>
            <w:r>
              <w:rPr>
                <w:rFonts w:hint="eastAsia" w:ascii="宋体" w:hAnsi="宋体" w:cs="宋体"/>
                <w:szCs w:val="21"/>
              </w:rPr>
              <w:t>（3）出样产品的结构牢固度，优得3-6分，一般得1-2分，差得0分；</w:t>
            </w:r>
          </w:p>
          <w:p>
            <w:pPr>
              <w:jc w:val="left"/>
              <w:rPr>
                <w:rFonts w:hint="eastAsia" w:ascii="宋体" w:hAnsi="宋体" w:cs="宋体"/>
                <w:szCs w:val="21"/>
              </w:rPr>
            </w:pPr>
            <w:r>
              <w:rPr>
                <w:rFonts w:hint="eastAsia" w:ascii="宋体" w:hAnsi="宋体" w:cs="宋体"/>
                <w:szCs w:val="21"/>
              </w:rPr>
              <w:t>（4）出样产品的油漆工艺（含小样），优得3-6分，一般得1-2分，差得0分。</w:t>
            </w:r>
          </w:p>
          <w:p>
            <w:pPr>
              <w:jc w:val="left"/>
              <w:rPr>
                <w:rFonts w:hint="eastAsia" w:ascii="宋体" w:hAnsi="宋体" w:cs="宋体"/>
                <w:szCs w:val="21"/>
              </w:rPr>
            </w:pPr>
            <w:r>
              <w:rPr>
                <w:rFonts w:hint="eastAsia" w:ascii="宋体" w:hAnsi="宋体" w:cs="宋体"/>
                <w:szCs w:val="21"/>
              </w:rPr>
              <w:t>（5）出样产品的总体感官美观性，舒适性，优得3-6分，一般得1-2分，差得0分。（未提供样品的作“零分”处理。）</w:t>
            </w:r>
          </w:p>
        </w:tc>
      </w:tr>
    </w:tbl>
    <w:p>
      <w:pPr>
        <w:rPr>
          <w:color w:val="000000" w:themeColor="text1"/>
          <w14:textFill>
            <w14:solidFill>
              <w14:schemeClr w14:val="tx1"/>
            </w14:solidFill>
          </w14:textFill>
        </w:rPr>
      </w:pPr>
    </w:p>
    <w:p>
      <w:pPr>
        <w:snapToGrid w:val="0"/>
        <w:spacing w:line="360" w:lineRule="auto"/>
        <w:outlineLvl w:val="1"/>
        <w:rPr>
          <w:rFonts w:ascii="宋体" w:hAnsi="宋体" w:cs="宋体"/>
          <w:b/>
          <w:bCs/>
          <w:szCs w:val="21"/>
        </w:rPr>
      </w:pPr>
      <w:r>
        <w:rPr>
          <w:rFonts w:hint="eastAsia" w:ascii="宋体" w:hAnsi="宋体" w:cs="宋体"/>
          <w:b/>
          <w:bCs/>
          <w:szCs w:val="21"/>
        </w:rPr>
        <w:t>特别提醒：技术响应评分中所涉及相关资料等证明材料均须提供原件复印件并将原件带至开标现场备查，未携带原件或因携带原件不全所引起的后果由投标供应商自行承担。</w:t>
      </w:r>
    </w:p>
    <w:p>
      <w:pPr>
        <w:snapToGrid w:val="0"/>
        <w:spacing w:line="480" w:lineRule="exact"/>
        <w:ind w:firstLine="420" w:firstLineChars="200"/>
        <w:rPr>
          <w:rFonts w:ascii="宋体" w:hAnsi="宋体" w:cs="宋体"/>
          <w:szCs w:val="21"/>
        </w:rPr>
      </w:pPr>
      <w:r>
        <w:rPr>
          <w:rFonts w:hint="eastAsia" w:ascii="宋体" w:hAnsi="宋体" w:cs="宋体"/>
          <w:szCs w:val="21"/>
        </w:rPr>
        <w:t>（二）商务报价分：（30分）</w:t>
      </w:r>
    </w:p>
    <w:p>
      <w:pPr>
        <w:snapToGrid w:val="0"/>
        <w:spacing w:line="480" w:lineRule="exact"/>
        <w:ind w:firstLine="420" w:firstLineChars="200"/>
        <w:rPr>
          <w:rFonts w:ascii="宋体" w:hAnsi="宋体" w:cs="宋体"/>
          <w:b/>
          <w:bCs/>
          <w:szCs w:val="21"/>
        </w:rPr>
      </w:pPr>
      <w:r>
        <w:rPr>
          <w:rFonts w:hint="eastAsia" w:ascii="宋体" w:hAnsi="宋体" w:cs="宋体"/>
          <w:szCs w:val="21"/>
        </w:rPr>
        <w:t>1、</w:t>
      </w:r>
      <w:r>
        <w:rPr>
          <w:rFonts w:hint="eastAsia" w:ascii="宋体" w:hAnsi="宋体" w:cs="宋体"/>
          <w:b/>
          <w:bCs/>
          <w:szCs w:val="21"/>
        </w:rPr>
        <w:t>本次项目最高限价：12万元，超过限价作无效标处理。</w:t>
      </w:r>
    </w:p>
    <w:p>
      <w:pPr>
        <w:snapToGrid w:val="0"/>
        <w:spacing w:line="480" w:lineRule="exact"/>
        <w:ind w:firstLine="420" w:firstLineChars="200"/>
        <w:rPr>
          <w:rFonts w:ascii="宋体" w:hAnsi="宋体" w:cs="宋体"/>
          <w:szCs w:val="21"/>
        </w:rPr>
      </w:pPr>
      <w:r>
        <w:rPr>
          <w:rFonts w:hint="eastAsia" w:ascii="宋体" w:hAnsi="宋体" w:cs="宋体"/>
          <w:szCs w:val="21"/>
        </w:rPr>
        <w:t>2、满足磋商文件要求且最后报价最低的供应商的价格为磋商基准价，其商务报价分为满分。其他供应商的商务报价分统一按照下列公式计算：</w:t>
      </w:r>
    </w:p>
    <w:p>
      <w:pPr>
        <w:snapToGrid w:val="0"/>
        <w:spacing w:line="480" w:lineRule="exact"/>
        <w:ind w:firstLine="420" w:firstLineChars="200"/>
        <w:rPr>
          <w:rFonts w:ascii="宋体" w:hAnsi="宋体" w:cs="宋体"/>
          <w:szCs w:val="21"/>
        </w:rPr>
      </w:pPr>
      <w:r>
        <w:rPr>
          <w:rFonts w:hint="eastAsia" w:ascii="宋体" w:hAnsi="宋体" w:cs="宋体"/>
          <w:szCs w:val="21"/>
        </w:rPr>
        <w:t>商务报价分 =（磋商基准价/最后磋商报价）×30%×100</w:t>
      </w:r>
    </w:p>
    <w:p>
      <w:pPr>
        <w:adjustRightInd w:val="0"/>
        <w:snapToGrid w:val="0"/>
        <w:spacing w:line="480" w:lineRule="exact"/>
        <w:ind w:firstLine="585"/>
        <w:rPr>
          <w:rFonts w:ascii="宋体" w:hAnsi="宋体" w:cs="宋体"/>
          <w:b/>
          <w:szCs w:val="21"/>
        </w:rPr>
      </w:pPr>
      <w:r>
        <w:rPr>
          <w:rFonts w:hint="eastAsia" w:ascii="宋体" w:hAnsi="宋体" w:cs="宋体"/>
          <w:b/>
          <w:szCs w:val="21"/>
        </w:rPr>
        <w:t>五、出现下列情形之一的，作无效标处理</w:t>
      </w:r>
    </w:p>
    <w:p>
      <w:pPr>
        <w:snapToGrid w:val="0"/>
        <w:spacing w:line="480" w:lineRule="exact"/>
        <w:ind w:firstLine="420" w:firstLineChars="200"/>
        <w:rPr>
          <w:rFonts w:ascii="宋体" w:hAnsi="宋体" w:cs="宋体"/>
          <w:szCs w:val="21"/>
        </w:rPr>
      </w:pPr>
      <w:r>
        <w:rPr>
          <w:rFonts w:hint="eastAsia" w:ascii="宋体" w:hAnsi="宋体" w:cs="宋体"/>
          <w:szCs w:val="21"/>
        </w:rPr>
        <w:t>1、响应文件未按规定要求密封、签署、盖章及主要资料不齐全的；</w:t>
      </w:r>
    </w:p>
    <w:p>
      <w:pPr>
        <w:snapToGrid w:val="0"/>
        <w:spacing w:line="480" w:lineRule="exact"/>
        <w:ind w:firstLine="420" w:firstLineChars="200"/>
        <w:rPr>
          <w:rFonts w:ascii="宋体" w:hAnsi="宋体" w:cs="宋体"/>
          <w:szCs w:val="21"/>
        </w:rPr>
      </w:pPr>
      <w:r>
        <w:rPr>
          <w:rFonts w:hint="eastAsia" w:ascii="宋体" w:hAnsi="宋体" w:cs="宋体"/>
          <w:szCs w:val="21"/>
        </w:rPr>
        <w:t>2、响应文件的资料有虚报或者谎报的；</w:t>
      </w:r>
    </w:p>
    <w:p>
      <w:pPr>
        <w:snapToGrid w:val="0"/>
        <w:spacing w:line="480" w:lineRule="exact"/>
        <w:ind w:firstLine="420" w:firstLineChars="200"/>
        <w:rPr>
          <w:rFonts w:ascii="宋体" w:hAnsi="宋体" w:cs="宋体"/>
          <w:szCs w:val="21"/>
        </w:rPr>
      </w:pPr>
      <w:r>
        <w:rPr>
          <w:rFonts w:hint="eastAsia" w:ascii="宋体" w:hAnsi="宋体" w:cs="宋体"/>
          <w:szCs w:val="21"/>
        </w:rPr>
        <w:t>3、响应文件中资格审查文件及技术响应文件出现磋商报价的内容；</w:t>
      </w:r>
    </w:p>
    <w:p>
      <w:pPr>
        <w:snapToGrid w:val="0"/>
        <w:spacing w:line="480" w:lineRule="exact"/>
        <w:ind w:firstLine="420" w:firstLineChars="200"/>
        <w:rPr>
          <w:rFonts w:ascii="宋体" w:hAnsi="宋体" w:cs="宋体"/>
          <w:szCs w:val="21"/>
        </w:rPr>
      </w:pPr>
      <w:r>
        <w:rPr>
          <w:rFonts w:hint="eastAsia" w:ascii="宋体" w:hAnsi="宋体" w:cs="宋体"/>
          <w:szCs w:val="21"/>
        </w:rPr>
        <w:t>4、不具备磋商文件规定的资格要求的；</w:t>
      </w:r>
    </w:p>
    <w:p>
      <w:pPr>
        <w:snapToGrid w:val="0"/>
        <w:spacing w:line="480" w:lineRule="exact"/>
        <w:ind w:firstLine="420" w:firstLineChars="200"/>
        <w:rPr>
          <w:rFonts w:ascii="宋体" w:hAnsi="宋体" w:cs="宋体"/>
          <w:szCs w:val="21"/>
        </w:rPr>
      </w:pPr>
      <w:r>
        <w:rPr>
          <w:rFonts w:hint="eastAsia" w:ascii="宋体" w:hAnsi="宋体" w:cs="宋体"/>
          <w:szCs w:val="21"/>
        </w:rPr>
        <w:t>5、响应文件有重大漏项或重大不合理的；</w:t>
      </w:r>
    </w:p>
    <w:p>
      <w:pPr>
        <w:snapToGrid w:val="0"/>
        <w:spacing w:line="480" w:lineRule="exact"/>
        <w:ind w:firstLine="420" w:firstLineChars="200"/>
        <w:rPr>
          <w:rFonts w:ascii="宋体" w:hAnsi="宋体" w:cs="宋体"/>
          <w:szCs w:val="21"/>
        </w:rPr>
      </w:pPr>
      <w:r>
        <w:rPr>
          <w:rFonts w:hint="eastAsia" w:ascii="宋体" w:hAnsi="宋体" w:cs="宋体"/>
          <w:szCs w:val="21"/>
        </w:rPr>
        <w:t>6、项目技术、方案不满足项目需求中的要求，有重大偏离或保留的；</w:t>
      </w:r>
    </w:p>
    <w:p>
      <w:pPr>
        <w:snapToGrid w:val="0"/>
        <w:spacing w:line="480" w:lineRule="exact"/>
        <w:ind w:firstLine="420" w:firstLineChars="200"/>
        <w:rPr>
          <w:rFonts w:ascii="宋体" w:hAnsi="宋体" w:cs="宋体"/>
          <w:szCs w:val="21"/>
        </w:rPr>
      </w:pPr>
      <w:r>
        <w:rPr>
          <w:rFonts w:hint="eastAsia" w:ascii="宋体" w:hAnsi="宋体" w:cs="宋体"/>
          <w:szCs w:val="21"/>
        </w:rPr>
        <w:t>7、磋商响应报价超出项目预算的；</w:t>
      </w:r>
    </w:p>
    <w:p>
      <w:pPr>
        <w:snapToGrid w:val="0"/>
        <w:spacing w:line="480" w:lineRule="exact"/>
        <w:ind w:firstLine="420" w:firstLineChars="200"/>
        <w:rPr>
          <w:rFonts w:ascii="宋体" w:hAnsi="宋体" w:cs="宋体"/>
          <w:szCs w:val="21"/>
        </w:rPr>
      </w:pPr>
      <w:r>
        <w:rPr>
          <w:rFonts w:hint="eastAsia" w:ascii="宋体" w:hAnsi="宋体" w:cs="宋体"/>
          <w:szCs w:val="21"/>
        </w:rPr>
        <w:t>8、被认定为低于成本报价磋商竞标的；</w:t>
      </w:r>
    </w:p>
    <w:p>
      <w:pPr>
        <w:snapToGrid w:val="0"/>
        <w:spacing w:line="480" w:lineRule="exact"/>
        <w:ind w:firstLine="420" w:firstLineChars="200"/>
        <w:rPr>
          <w:rFonts w:ascii="宋体" w:hAnsi="宋体" w:cs="宋体"/>
          <w:szCs w:val="21"/>
        </w:rPr>
      </w:pPr>
      <w:r>
        <w:rPr>
          <w:rFonts w:hint="eastAsia" w:ascii="宋体" w:hAnsi="宋体" w:cs="宋体"/>
          <w:szCs w:val="21"/>
        </w:rPr>
        <w:t>9、供应商的磋商报价高于自己前一轮的；</w:t>
      </w:r>
    </w:p>
    <w:p>
      <w:pPr>
        <w:snapToGrid w:val="0"/>
        <w:spacing w:line="480" w:lineRule="exact"/>
        <w:ind w:firstLine="420" w:firstLineChars="200"/>
        <w:rPr>
          <w:rFonts w:ascii="宋体" w:hAnsi="宋体" w:cs="宋体"/>
          <w:szCs w:val="21"/>
        </w:rPr>
      </w:pPr>
      <w:r>
        <w:rPr>
          <w:rFonts w:hint="eastAsia" w:ascii="宋体" w:hAnsi="宋体" w:cs="宋体"/>
          <w:szCs w:val="21"/>
        </w:rPr>
        <w:t>10、不符合法律、法规和磋商文件中规定的其他实质性响应要求的；</w:t>
      </w:r>
    </w:p>
    <w:p>
      <w:pPr>
        <w:snapToGrid w:val="0"/>
        <w:spacing w:line="480" w:lineRule="exact"/>
        <w:ind w:firstLine="420" w:firstLineChars="200"/>
        <w:rPr>
          <w:rFonts w:ascii="宋体" w:hAnsi="宋体" w:cs="宋体"/>
          <w:szCs w:val="21"/>
        </w:rPr>
      </w:pPr>
      <w:r>
        <w:rPr>
          <w:rFonts w:hint="eastAsia" w:ascii="宋体" w:hAnsi="宋体" w:cs="宋体"/>
          <w:szCs w:val="21"/>
        </w:rPr>
        <w:t>11、磋商小组依据法律法规可以认定为无效投标的其他情况。</w:t>
      </w:r>
    </w:p>
    <w:p>
      <w:pPr>
        <w:snapToGrid w:val="0"/>
        <w:spacing w:line="480" w:lineRule="exact"/>
        <w:ind w:firstLine="422" w:firstLineChars="200"/>
        <w:outlineLvl w:val="1"/>
        <w:rPr>
          <w:rFonts w:ascii="宋体" w:hAnsi="宋体" w:cs="宋体"/>
          <w:b/>
          <w:szCs w:val="21"/>
        </w:rPr>
      </w:pPr>
      <w:r>
        <w:rPr>
          <w:rFonts w:hint="eastAsia" w:ascii="宋体" w:hAnsi="宋体" w:cs="宋体"/>
          <w:b/>
          <w:szCs w:val="21"/>
        </w:rPr>
        <w:t>六、出现下列情形之一的，作废标处理</w:t>
      </w:r>
    </w:p>
    <w:p>
      <w:pPr>
        <w:snapToGrid w:val="0"/>
        <w:spacing w:line="480" w:lineRule="exact"/>
        <w:ind w:firstLine="420" w:firstLineChars="200"/>
        <w:rPr>
          <w:rFonts w:ascii="宋体" w:hAnsi="宋体" w:cs="宋体"/>
          <w:szCs w:val="21"/>
        </w:rPr>
      </w:pPr>
      <w:r>
        <w:rPr>
          <w:rFonts w:hint="eastAsia" w:ascii="宋体" w:hAnsi="宋体" w:cs="宋体"/>
          <w:szCs w:val="21"/>
        </w:rPr>
        <w:t>1、供应商的报价均超出了采购预算，采购单位不能支付的；</w:t>
      </w:r>
    </w:p>
    <w:p>
      <w:pPr>
        <w:snapToGrid w:val="0"/>
        <w:spacing w:line="480" w:lineRule="exact"/>
        <w:ind w:firstLine="420" w:firstLineChars="200"/>
        <w:rPr>
          <w:rFonts w:ascii="宋体" w:hAnsi="宋体" w:cs="宋体"/>
          <w:szCs w:val="21"/>
        </w:rPr>
      </w:pPr>
      <w:r>
        <w:rPr>
          <w:rFonts w:hint="eastAsia" w:ascii="宋体" w:hAnsi="宋体" w:cs="宋体"/>
          <w:szCs w:val="21"/>
        </w:rPr>
        <w:t>2、因情况变化，不再符合规定的竞争性磋商采购方式所适用情形的；</w:t>
      </w:r>
    </w:p>
    <w:p>
      <w:pPr>
        <w:snapToGrid w:val="0"/>
        <w:spacing w:line="480" w:lineRule="exact"/>
        <w:ind w:firstLine="420" w:firstLineChars="200"/>
        <w:rPr>
          <w:rFonts w:ascii="宋体" w:hAnsi="宋体" w:cs="宋体"/>
          <w:szCs w:val="21"/>
        </w:rPr>
      </w:pPr>
      <w:r>
        <w:rPr>
          <w:rFonts w:hint="eastAsia" w:ascii="宋体" w:hAnsi="宋体" w:cs="宋体"/>
          <w:szCs w:val="21"/>
        </w:rPr>
        <w:t>3、出现影响采购公正的违法、违规行为的；</w:t>
      </w:r>
    </w:p>
    <w:p>
      <w:pPr>
        <w:snapToGrid w:val="0"/>
        <w:spacing w:line="480" w:lineRule="exact"/>
        <w:ind w:firstLine="420" w:firstLineChars="200"/>
        <w:rPr>
          <w:rFonts w:ascii="宋体" w:hAnsi="宋体" w:cs="宋体"/>
          <w:szCs w:val="21"/>
        </w:rPr>
      </w:pPr>
      <w:r>
        <w:rPr>
          <w:rFonts w:hint="eastAsia" w:ascii="宋体" w:hAnsi="宋体" w:cs="宋体"/>
          <w:szCs w:val="21"/>
        </w:rPr>
        <w:t>4、因重大变故，采购任务取消的；</w:t>
      </w:r>
    </w:p>
    <w:p>
      <w:pPr>
        <w:snapToGrid w:val="0"/>
        <w:spacing w:line="480" w:lineRule="exact"/>
        <w:ind w:firstLine="420" w:firstLineChars="200"/>
        <w:rPr>
          <w:rFonts w:ascii="宋体" w:hAnsi="宋体" w:cs="宋体"/>
          <w:szCs w:val="21"/>
        </w:rPr>
      </w:pPr>
      <w:r>
        <w:rPr>
          <w:rFonts w:hint="eastAsia" w:ascii="宋体" w:hAnsi="宋体" w:cs="宋体"/>
          <w:szCs w:val="21"/>
        </w:rPr>
        <w:t>5、磋商小组依据法律法规可以认定为废标的其他情况。</w:t>
      </w:r>
    </w:p>
    <w:p>
      <w:pPr>
        <w:snapToGrid w:val="0"/>
        <w:spacing w:line="480" w:lineRule="exact"/>
        <w:ind w:firstLine="422" w:firstLineChars="200"/>
        <w:outlineLvl w:val="1"/>
        <w:rPr>
          <w:rFonts w:ascii="宋体" w:hAnsi="宋体" w:cs="宋体"/>
          <w:b/>
          <w:szCs w:val="21"/>
        </w:rPr>
      </w:pPr>
      <w:r>
        <w:rPr>
          <w:rFonts w:hint="eastAsia" w:ascii="宋体" w:hAnsi="宋体" w:cs="宋体"/>
          <w:b/>
          <w:szCs w:val="21"/>
        </w:rPr>
        <w:t>七、成交通知</w:t>
      </w:r>
    </w:p>
    <w:p>
      <w:pPr>
        <w:spacing w:line="480" w:lineRule="exact"/>
        <w:ind w:firstLine="424" w:firstLineChars="202"/>
        <w:rPr>
          <w:rFonts w:ascii="宋体" w:hAnsi="宋体" w:cs="宋体"/>
          <w:b/>
          <w:szCs w:val="21"/>
        </w:rPr>
      </w:pPr>
      <w:r>
        <w:rPr>
          <w:rFonts w:hint="eastAsia" w:ascii="宋体" w:hAnsi="宋体" w:cs="宋体"/>
          <w:kern w:val="0"/>
          <w:szCs w:val="21"/>
        </w:rPr>
        <w:t>成交结果在“江苏省南通市人民检察院”官网公示</w:t>
      </w:r>
      <w:r>
        <w:rPr>
          <w:rFonts w:hint="eastAsia" w:ascii="宋体" w:hAnsi="宋体" w:cs="宋体"/>
          <w:b/>
          <w:kern w:val="0"/>
          <w:szCs w:val="21"/>
          <w:u w:val="single"/>
        </w:rPr>
        <w:t>3</w:t>
      </w:r>
      <w:r>
        <w:rPr>
          <w:rFonts w:hint="eastAsia" w:ascii="宋体" w:hAnsi="宋体" w:cs="宋体"/>
          <w:kern w:val="0"/>
          <w:szCs w:val="21"/>
        </w:rPr>
        <w:t>个工作日。《成交通知书》一经发出，采购单位改变成交结果，或者中标人放弃成交的，各自承担相应的法律责任。《成交通知书》是采购合同的组成部分。</w:t>
      </w:r>
    </w:p>
    <w:p>
      <w:pPr>
        <w:numPr>
          <w:ilvl w:val="0"/>
          <w:numId w:val="5"/>
        </w:numPr>
        <w:snapToGrid w:val="0"/>
        <w:spacing w:line="520" w:lineRule="exact"/>
        <w:jc w:val="center"/>
        <w:rPr>
          <w:rFonts w:ascii="宋体" w:hAnsi="宋体" w:cs="宋体"/>
          <w:b/>
          <w:iCs/>
          <w:w w:val="80"/>
          <w:sz w:val="44"/>
          <w:szCs w:val="44"/>
        </w:rPr>
      </w:pPr>
      <w:r>
        <w:rPr>
          <w:rFonts w:hint="eastAsia" w:ascii="宋体" w:hAnsi="宋体"/>
          <w:b/>
          <w:w w:val="80"/>
          <w:kern w:val="44"/>
          <w:szCs w:val="21"/>
        </w:rPr>
        <w:br w:type="page"/>
      </w:r>
      <w:r>
        <w:rPr>
          <w:rFonts w:hint="eastAsia" w:ascii="宋体" w:hAnsi="宋体"/>
          <w:b/>
          <w:w w:val="80"/>
          <w:kern w:val="44"/>
          <w:sz w:val="44"/>
          <w:szCs w:val="44"/>
        </w:rPr>
        <w:t xml:space="preserve"> 合同主要条款</w:t>
      </w:r>
    </w:p>
    <w:p>
      <w:pPr>
        <w:spacing w:line="360" w:lineRule="auto"/>
        <w:rPr>
          <w:rFonts w:ascii="宋体" w:hAnsi="宋体" w:cs="宋体"/>
          <w:szCs w:val="21"/>
          <w:u w:val="single"/>
        </w:rPr>
      </w:pPr>
      <w:r>
        <w:rPr>
          <w:rFonts w:hint="eastAsia" w:ascii="宋体" w:hAnsi="宋体" w:cs="宋体"/>
          <w:spacing w:val="46"/>
          <w:szCs w:val="21"/>
        </w:rPr>
        <w:t>采购人</w:t>
      </w:r>
      <w:r>
        <w:rPr>
          <w:rFonts w:hint="eastAsia" w:ascii="宋体" w:hAnsi="宋体" w:cs="宋体"/>
          <w:szCs w:val="21"/>
        </w:rPr>
        <w:t>（或称甲方）：</w:t>
      </w:r>
    </w:p>
    <w:p>
      <w:pPr>
        <w:spacing w:line="360" w:lineRule="auto"/>
        <w:rPr>
          <w:rFonts w:ascii="宋体" w:hAnsi="宋体" w:cs="宋体"/>
          <w:szCs w:val="21"/>
        </w:rPr>
      </w:pPr>
      <w:r>
        <w:rPr>
          <w:rFonts w:hint="eastAsia" w:ascii="宋体" w:hAnsi="宋体" w:cs="宋体"/>
          <w:szCs w:val="21"/>
        </w:rPr>
        <w:t>成交供应商（或称乙方）：</w:t>
      </w:r>
    </w:p>
    <w:p>
      <w:pPr>
        <w:spacing w:line="360" w:lineRule="auto"/>
        <w:rPr>
          <w:rFonts w:ascii="宋体" w:hAnsi="宋体" w:cs="宋体"/>
          <w:szCs w:val="21"/>
          <w:u w:val="single"/>
        </w:rPr>
      </w:pPr>
      <w:r>
        <w:rPr>
          <w:rFonts w:hint="eastAsia" w:ascii="宋体" w:hAnsi="宋体" w:cs="宋体"/>
          <w:szCs w:val="21"/>
        </w:rPr>
        <w:t>签订地点：</w:t>
      </w:r>
    </w:p>
    <w:p>
      <w:pPr>
        <w:spacing w:line="360" w:lineRule="auto"/>
        <w:ind w:firstLine="420" w:firstLineChars="200"/>
        <w:rPr>
          <w:rFonts w:ascii="宋体" w:hAnsi="宋体" w:cs="宋体"/>
          <w:szCs w:val="21"/>
        </w:rPr>
      </w:pPr>
      <w:r>
        <w:rPr>
          <w:rFonts w:hint="eastAsia" w:ascii="宋体" w:hAnsi="宋体" w:cs="宋体"/>
          <w:szCs w:val="21"/>
        </w:rPr>
        <w:t>根据《政府采购法》《合同法》及 年 月 日</w:t>
      </w:r>
      <w:r>
        <w:rPr>
          <w:rFonts w:hint="eastAsia" w:ascii="宋体" w:hAnsi="宋体" w:cs="宋体"/>
          <w:szCs w:val="21"/>
          <w:u w:val="single"/>
        </w:rPr>
        <w:t xml:space="preserve">        采购</w:t>
      </w:r>
      <w:r>
        <w:rPr>
          <w:rFonts w:hint="eastAsia" w:ascii="宋体" w:hAnsi="宋体" w:cs="宋体"/>
          <w:szCs w:val="21"/>
        </w:rPr>
        <w:t>项目的采购结果、采购文件，经双方协商一致，签订本合同。</w:t>
      </w:r>
    </w:p>
    <w:p>
      <w:pPr>
        <w:spacing w:line="360" w:lineRule="auto"/>
        <w:rPr>
          <w:rFonts w:ascii="宋体" w:hAnsi="宋体" w:cs="宋体"/>
          <w:szCs w:val="21"/>
        </w:rPr>
      </w:pPr>
      <w:r>
        <w:rPr>
          <w:rFonts w:hint="eastAsia" w:ascii="宋体" w:hAnsi="宋体" w:cs="宋体"/>
          <w:szCs w:val="21"/>
        </w:rPr>
        <w:t xml:space="preserve">    一、合同的标的物</w:t>
      </w:r>
    </w:p>
    <w:p>
      <w:pPr>
        <w:spacing w:line="360" w:lineRule="auto"/>
        <w:ind w:firstLine="424" w:firstLineChars="202"/>
        <w:rPr>
          <w:rFonts w:ascii="宋体" w:hAnsi="宋体" w:cs="宋体"/>
          <w:szCs w:val="21"/>
        </w:rPr>
      </w:pPr>
      <w:r>
        <w:rPr>
          <w:rFonts w:hint="eastAsia" w:ascii="宋体" w:hAnsi="宋体" w:cs="宋体"/>
          <w:szCs w:val="21"/>
        </w:rPr>
        <w:t>1.1甲方向乙方采购标的物，具体的品种、规格要求详见合同附件：</w:t>
      </w:r>
    </w:p>
    <w:p>
      <w:pPr>
        <w:spacing w:line="360" w:lineRule="auto"/>
        <w:ind w:firstLine="424" w:firstLineChars="202"/>
        <w:rPr>
          <w:rFonts w:ascii="宋体" w:hAnsi="宋体" w:cs="宋体"/>
          <w:szCs w:val="21"/>
        </w:rPr>
      </w:pPr>
      <w:r>
        <w:rPr>
          <w:rFonts w:hint="eastAsia" w:ascii="宋体" w:hAnsi="宋体" w:cs="宋体"/>
          <w:szCs w:val="21"/>
        </w:rPr>
        <w:t>1.2乙方对提供的标的物应当拥有完整的物权，并且负有保证第三人不得向甲方主张任何权利（包括知识产权）的义务。</w:t>
      </w:r>
    </w:p>
    <w:p>
      <w:pPr>
        <w:spacing w:line="360" w:lineRule="auto"/>
        <w:ind w:firstLine="424" w:firstLineChars="202"/>
        <w:rPr>
          <w:rFonts w:ascii="宋体" w:hAnsi="宋体" w:cs="宋体"/>
          <w:szCs w:val="21"/>
        </w:rPr>
      </w:pPr>
      <w:r>
        <w:rPr>
          <w:rFonts w:hint="eastAsia" w:ascii="宋体" w:hAnsi="宋体" w:cs="宋体"/>
          <w:szCs w:val="21"/>
        </w:rPr>
        <w:t>二、合同价格与支付</w:t>
      </w:r>
    </w:p>
    <w:p>
      <w:pPr>
        <w:snapToGrid w:val="0"/>
        <w:spacing w:line="360" w:lineRule="auto"/>
        <w:ind w:firstLine="420" w:firstLineChars="200"/>
        <w:rPr>
          <w:rFonts w:ascii="宋体" w:hAnsi="宋体" w:cs="宋体"/>
          <w:szCs w:val="21"/>
        </w:rPr>
      </w:pPr>
      <w:r>
        <w:rPr>
          <w:rFonts w:hint="eastAsia" w:ascii="宋体" w:hAnsi="宋体" w:cs="宋体"/>
          <w:szCs w:val="21"/>
        </w:rPr>
        <w:t>2.1 合同价格按此次成交价格执行，合同总金额为人民币</w:t>
      </w:r>
      <w:r>
        <w:rPr>
          <w:rFonts w:hint="eastAsia" w:ascii="宋体" w:hAnsi="宋体" w:cs="宋体"/>
          <w:szCs w:val="21"/>
          <w:u w:val="single"/>
        </w:rPr>
        <w:t xml:space="preserve">   </w:t>
      </w:r>
      <w:r>
        <w:rPr>
          <w:rFonts w:hint="eastAsia" w:ascii="宋体" w:hAnsi="宋体" w:cs="宋体"/>
          <w:szCs w:val="21"/>
        </w:rPr>
        <w:t>元，合同价货物的成本、利润、税金、开办费、开模费、市场材料价格风险费、政策性调整风险费等的所有费用；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售后服务等一切费用；即本项目采购的货物交付使用前的所有费用以及免费质保期内的服务费用等包含响应招标文件采购要求的所有费用。</w:t>
      </w:r>
    </w:p>
    <w:p>
      <w:pPr>
        <w:spacing w:line="360" w:lineRule="auto"/>
        <w:ind w:firstLine="420" w:firstLineChars="200"/>
        <w:rPr>
          <w:rFonts w:ascii="宋体" w:hAnsi="宋体" w:cs="宋体"/>
          <w:szCs w:val="21"/>
        </w:rPr>
      </w:pPr>
      <w:r>
        <w:rPr>
          <w:rFonts w:hint="eastAsia" w:ascii="宋体" w:hAnsi="宋体" w:cs="宋体"/>
          <w:szCs w:val="21"/>
        </w:rPr>
        <w:t>2.2付款方式：合同签订后支付成交价的30%，供应商所有货物送达后，安装、调试完毕通过验收且采购单位出具书面接收单后付清尾款；供应商需交纳采购单位成交价的10%的作为质保金，质保期满后经采购单位确认无质量问题后一周内一次性退还质保金（扣除已发生的维修费用、违约金、赔偿金的费用），以上付款均不计利息。</w:t>
      </w:r>
    </w:p>
    <w:p>
      <w:pPr>
        <w:snapToGrid w:val="0"/>
        <w:spacing w:line="360" w:lineRule="auto"/>
        <w:ind w:firstLine="420" w:firstLineChars="200"/>
        <w:rPr>
          <w:rFonts w:ascii="宋体" w:hAnsi="宋体" w:cs="宋体"/>
          <w:szCs w:val="21"/>
        </w:rPr>
      </w:pPr>
      <w:r>
        <w:rPr>
          <w:rFonts w:hint="eastAsia" w:ascii="宋体" w:hAnsi="宋体" w:cs="宋体"/>
          <w:szCs w:val="21"/>
        </w:rPr>
        <w:t>2.3乙方按期交货后向甲方结算货款时须提供下列单据：质量保证书及随产品附带的所有有关资料、甲方盖章签收后的运货回单和验收合格证明。</w:t>
      </w:r>
    </w:p>
    <w:p>
      <w:pPr>
        <w:spacing w:line="360" w:lineRule="auto"/>
        <w:ind w:firstLine="424" w:firstLineChars="202"/>
        <w:rPr>
          <w:rFonts w:ascii="宋体" w:hAnsi="宋体" w:cs="宋体"/>
          <w:szCs w:val="21"/>
        </w:rPr>
      </w:pPr>
      <w:r>
        <w:rPr>
          <w:rFonts w:hint="eastAsia" w:ascii="宋体" w:hAnsi="宋体" w:cs="宋体"/>
          <w:szCs w:val="21"/>
        </w:rPr>
        <w:t xml:space="preserve">2.4 根据现行税法对甲方征收的与本合同有关的一切税费均由甲方承担；根据现行税法对乙方征收的与本合同有关的一切税费均由乙方承担。     </w:t>
      </w:r>
    </w:p>
    <w:p>
      <w:pPr>
        <w:spacing w:line="360" w:lineRule="auto"/>
        <w:ind w:firstLine="424" w:firstLineChars="202"/>
        <w:rPr>
          <w:rFonts w:ascii="宋体" w:hAnsi="宋体" w:cs="宋体"/>
          <w:szCs w:val="21"/>
        </w:rPr>
      </w:pPr>
      <w:r>
        <w:rPr>
          <w:rFonts w:hint="eastAsia" w:ascii="宋体" w:hAnsi="宋体" w:cs="宋体"/>
          <w:szCs w:val="21"/>
        </w:rPr>
        <w:t>2.5 支付（结算）方式：由甲方通知乙方提交相关发票并至国库支付（结算）中心办理支付手续，支付（结算）中心在各项手续、票据齐全的情况下完成对外支付。</w:t>
      </w:r>
    </w:p>
    <w:p>
      <w:pPr>
        <w:spacing w:line="360" w:lineRule="auto"/>
        <w:ind w:firstLine="424" w:firstLineChars="202"/>
        <w:rPr>
          <w:rFonts w:ascii="宋体" w:hAnsi="宋体" w:cs="宋体"/>
          <w:szCs w:val="21"/>
        </w:rPr>
      </w:pPr>
      <w:r>
        <w:rPr>
          <w:rFonts w:hint="eastAsia" w:ascii="宋体" w:hAnsi="宋体" w:cs="宋体"/>
          <w:szCs w:val="21"/>
        </w:rPr>
        <w:t>2.6供货量调整及结算方式：如因甲方实际需求，供货数量发生变化，乙方须无条件满足甲方需求，确保供货质量并及时供货；结算时按实际供货量进行结算，其综合单价不变。</w:t>
      </w:r>
    </w:p>
    <w:p>
      <w:pPr>
        <w:spacing w:line="360" w:lineRule="auto"/>
        <w:ind w:firstLine="424" w:firstLineChars="202"/>
        <w:rPr>
          <w:rFonts w:ascii="宋体" w:hAnsi="宋体" w:cs="宋体"/>
          <w:szCs w:val="21"/>
        </w:rPr>
      </w:pPr>
      <w:r>
        <w:rPr>
          <w:rFonts w:hint="eastAsia" w:ascii="宋体" w:hAnsi="宋体" w:cs="宋体"/>
          <w:szCs w:val="21"/>
        </w:rPr>
        <w:t>2.7乙方在将货物送达目的地的送货过程中和安装过程中，一切安全由乙方自行承担。</w:t>
      </w:r>
    </w:p>
    <w:p>
      <w:pPr>
        <w:spacing w:line="360" w:lineRule="auto"/>
        <w:rPr>
          <w:rFonts w:ascii="宋体" w:hAnsi="宋体" w:cs="宋体"/>
          <w:szCs w:val="21"/>
        </w:rPr>
      </w:pPr>
      <w:r>
        <w:rPr>
          <w:rFonts w:hint="eastAsia" w:ascii="宋体" w:hAnsi="宋体" w:cs="宋体"/>
          <w:szCs w:val="21"/>
        </w:rPr>
        <w:t xml:space="preserve">    三、质量保证</w:t>
      </w:r>
    </w:p>
    <w:p>
      <w:pPr>
        <w:spacing w:line="360" w:lineRule="auto"/>
        <w:ind w:firstLine="424" w:firstLineChars="202"/>
        <w:rPr>
          <w:rFonts w:ascii="宋体" w:hAnsi="宋体" w:cs="宋体"/>
          <w:szCs w:val="21"/>
        </w:rPr>
      </w:pPr>
      <w:r>
        <w:rPr>
          <w:rFonts w:hint="eastAsia" w:ascii="宋体" w:hAnsi="宋体" w:cs="宋体"/>
          <w:szCs w:val="21"/>
        </w:rPr>
        <w:t>3.1 乙方应保证货物是全新、未使用过的原厂合格产品，并完全符合磋商文件及本合同规定的质量、规格和参数的要求。验收过程中发现不符合要求的，将视作不合格产品，使用方有权终止合同，造成的一切损失由供应商承担。</w:t>
      </w:r>
    </w:p>
    <w:p>
      <w:pPr>
        <w:spacing w:line="360" w:lineRule="auto"/>
        <w:ind w:firstLine="424" w:firstLineChars="202"/>
        <w:rPr>
          <w:rFonts w:ascii="宋体" w:hAnsi="宋体" w:cs="宋体"/>
          <w:szCs w:val="21"/>
        </w:rPr>
      </w:pPr>
      <w:r>
        <w:rPr>
          <w:rFonts w:hint="eastAsia" w:ascii="宋体" w:hAnsi="宋体" w:cs="宋体"/>
          <w:szCs w:val="21"/>
        </w:rPr>
        <w:t>3.2报价产品的技术标准按国家标准执行，无国家标准的，按行业标准执行，无国家和行业标准的，按企业标准执行；但在磋商文件中有特别要求的，按磋商文件中规定的要求执行，并且符合相关法律、法规规定的要求。</w:t>
      </w:r>
    </w:p>
    <w:p>
      <w:pPr>
        <w:spacing w:line="360" w:lineRule="auto"/>
        <w:ind w:firstLine="424" w:firstLineChars="202"/>
        <w:rPr>
          <w:rFonts w:ascii="宋体" w:hAnsi="宋体" w:cs="宋体"/>
          <w:szCs w:val="21"/>
        </w:rPr>
      </w:pPr>
      <w:r>
        <w:rPr>
          <w:rFonts w:hint="eastAsia" w:ascii="宋体" w:hAnsi="宋体" w:cs="宋体"/>
          <w:szCs w:val="21"/>
        </w:rPr>
        <w:t>3.3乙方应保证提供的产品不得侵犯第三方专利权、商标权和设计权、版权等。否则，乙方应负全部责任，并承担由此引起的一切后果。</w:t>
      </w:r>
    </w:p>
    <w:p>
      <w:pPr>
        <w:spacing w:line="360" w:lineRule="auto"/>
        <w:ind w:firstLine="424" w:firstLineChars="202"/>
        <w:rPr>
          <w:rFonts w:ascii="宋体" w:hAnsi="宋体" w:cs="宋体"/>
          <w:szCs w:val="21"/>
        </w:rPr>
      </w:pPr>
      <w:r>
        <w:rPr>
          <w:rFonts w:hint="eastAsia" w:ascii="宋体" w:hAnsi="宋体" w:cs="宋体"/>
          <w:szCs w:val="21"/>
        </w:rPr>
        <w:t>3.4乙方应保证其货物在正确安装、正常使用下，在其使用寿命期内应具有满意的性能。</w:t>
      </w:r>
    </w:p>
    <w:p>
      <w:pPr>
        <w:spacing w:line="360" w:lineRule="auto"/>
        <w:ind w:firstLine="424" w:firstLineChars="202"/>
        <w:rPr>
          <w:rFonts w:ascii="宋体" w:hAnsi="宋体" w:cs="宋体"/>
          <w:szCs w:val="21"/>
        </w:rPr>
      </w:pPr>
      <w:r>
        <w:rPr>
          <w:rFonts w:hint="eastAsia" w:ascii="宋体" w:hAnsi="宋体" w:cs="宋体"/>
          <w:szCs w:val="21"/>
        </w:rPr>
        <w:t>3.5乙方应采取必要的安全措施保证货物的运输及安装的安全，并承担货物的运输及安装过程中产生的风险。</w:t>
      </w:r>
    </w:p>
    <w:p>
      <w:pPr>
        <w:spacing w:line="360" w:lineRule="auto"/>
        <w:ind w:firstLine="424" w:firstLineChars="202"/>
        <w:rPr>
          <w:rFonts w:ascii="宋体" w:hAnsi="宋体" w:cs="宋体"/>
          <w:szCs w:val="21"/>
        </w:rPr>
      </w:pPr>
      <w:r>
        <w:rPr>
          <w:rFonts w:hint="eastAsia" w:ascii="宋体" w:hAnsi="宋体" w:cs="宋体"/>
          <w:kern w:val="0"/>
          <w:szCs w:val="21"/>
        </w:rPr>
        <w:t>3.6</w:t>
      </w:r>
      <w:r>
        <w:rPr>
          <w:rFonts w:hint="eastAsia" w:ascii="宋体" w:hAnsi="宋体" w:cs="宋体"/>
          <w:szCs w:val="21"/>
        </w:rPr>
        <w:t>乙方</w:t>
      </w:r>
      <w:r>
        <w:rPr>
          <w:rFonts w:hint="eastAsia" w:ascii="宋体" w:hAnsi="宋体" w:cs="宋体"/>
          <w:kern w:val="0"/>
          <w:szCs w:val="21"/>
        </w:rPr>
        <w:t>必须保证所提供的产品符合国家相应质量要求，所有产品必须具备市级及</w:t>
      </w:r>
      <w:r>
        <w:rPr>
          <w:rFonts w:hint="eastAsia" w:ascii="宋体" w:hAnsi="宋体" w:cs="宋体"/>
          <w:szCs w:val="21"/>
        </w:rPr>
        <w:t>以上质量技术监督机构出具的合格证书，并随货同行。</w:t>
      </w:r>
    </w:p>
    <w:p>
      <w:pPr>
        <w:spacing w:line="360" w:lineRule="auto"/>
        <w:ind w:firstLine="424" w:firstLineChars="202"/>
        <w:rPr>
          <w:rFonts w:ascii="宋体" w:hAnsi="宋体" w:cs="宋体"/>
          <w:szCs w:val="21"/>
        </w:rPr>
      </w:pPr>
      <w:r>
        <w:rPr>
          <w:rFonts w:hint="eastAsia" w:ascii="宋体" w:hAnsi="宋体" w:cs="宋体"/>
          <w:szCs w:val="21"/>
        </w:rPr>
        <w:t>3.7除特别约定外，合同条款内项目（标的物）的质量保证期均自项目（标的物）通过最终验收之日起计算，质量保证期按承诺。</w:t>
      </w:r>
    </w:p>
    <w:p>
      <w:pPr>
        <w:spacing w:line="360" w:lineRule="auto"/>
        <w:ind w:firstLine="424" w:firstLineChars="202"/>
        <w:rPr>
          <w:rFonts w:ascii="宋体" w:hAnsi="宋体" w:cs="宋体"/>
          <w:szCs w:val="21"/>
        </w:rPr>
      </w:pPr>
      <w:r>
        <w:rPr>
          <w:rFonts w:hint="eastAsia" w:ascii="宋体" w:hAnsi="宋体" w:cs="宋体"/>
          <w:szCs w:val="21"/>
        </w:rPr>
        <w:t>3.8乙方自行负责施工过程中所需的登高设备，以及安全措施。负责施工后垃圾的处理及施工现场的复原。</w:t>
      </w:r>
    </w:p>
    <w:p>
      <w:pPr>
        <w:spacing w:line="360" w:lineRule="auto"/>
        <w:ind w:firstLine="424" w:firstLineChars="202"/>
        <w:rPr>
          <w:rFonts w:ascii="宋体" w:hAnsi="宋体" w:cs="宋体"/>
          <w:szCs w:val="21"/>
        </w:rPr>
      </w:pPr>
      <w:r>
        <w:rPr>
          <w:rFonts w:hint="eastAsia" w:ascii="宋体" w:hAnsi="宋体" w:cs="宋体"/>
          <w:szCs w:val="21"/>
        </w:rPr>
        <w:t>四、包装</w:t>
      </w:r>
    </w:p>
    <w:p>
      <w:pPr>
        <w:spacing w:line="360" w:lineRule="auto"/>
        <w:ind w:firstLine="424" w:firstLineChars="202"/>
        <w:rPr>
          <w:rFonts w:ascii="宋体" w:hAnsi="宋体" w:cs="宋体"/>
          <w:szCs w:val="21"/>
        </w:rPr>
      </w:pPr>
      <w:r>
        <w:rPr>
          <w:rFonts w:hint="eastAsia" w:ascii="宋体" w:hAnsi="宋体" w:cs="宋体"/>
          <w:szCs w:val="21"/>
        </w:rPr>
        <w:t>4.1乙方提供的设备必须为原包装，在送交甲方验收前不得拆箱。</w:t>
      </w:r>
    </w:p>
    <w:p>
      <w:pPr>
        <w:spacing w:line="360" w:lineRule="auto"/>
        <w:ind w:firstLine="424" w:firstLineChars="202"/>
        <w:rPr>
          <w:rFonts w:ascii="宋体" w:hAnsi="宋体" w:cs="宋体"/>
          <w:szCs w:val="21"/>
        </w:rPr>
      </w:pPr>
      <w:r>
        <w:rPr>
          <w:rFonts w:hint="eastAsia" w:ascii="宋体" w:hAnsi="宋体" w:cs="宋体"/>
          <w:szCs w:val="21"/>
        </w:rPr>
        <w:t>4.2.乙方所出售的全部货物均应按标准保护措施进行包装，这类包装应适应于远距离运输、防潮、防震、防锈和防野蛮装卸等要求，以确保货物安全无损地运抵指定现场。</w:t>
      </w:r>
    </w:p>
    <w:p>
      <w:pPr>
        <w:spacing w:line="360" w:lineRule="auto"/>
        <w:ind w:firstLine="424" w:firstLineChars="202"/>
        <w:rPr>
          <w:rFonts w:ascii="宋体" w:hAnsi="宋体" w:cs="宋体"/>
          <w:szCs w:val="21"/>
        </w:rPr>
      </w:pPr>
      <w:r>
        <w:rPr>
          <w:rFonts w:hint="eastAsia" w:ascii="宋体" w:hAnsi="宋体" w:cs="宋体"/>
          <w:szCs w:val="21"/>
        </w:rPr>
        <w:t>4.3.每一个包装箱内应附有出厂标准配置的有关技术、质量、三包等资料。</w:t>
      </w:r>
    </w:p>
    <w:p>
      <w:pPr>
        <w:spacing w:line="360" w:lineRule="auto"/>
        <w:ind w:firstLine="424" w:firstLineChars="202"/>
        <w:rPr>
          <w:rFonts w:ascii="宋体" w:hAnsi="宋体" w:cs="宋体"/>
          <w:szCs w:val="21"/>
        </w:rPr>
      </w:pPr>
      <w:r>
        <w:rPr>
          <w:rFonts w:hint="eastAsia" w:ascii="宋体" w:hAnsi="宋体" w:cs="宋体"/>
          <w:szCs w:val="21"/>
        </w:rPr>
        <w:t>五、标的物的交付</w:t>
      </w:r>
    </w:p>
    <w:p>
      <w:pPr>
        <w:spacing w:line="360" w:lineRule="auto"/>
        <w:ind w:firstLine="424" w:firstLineChars="202"/>
        <w:rPr>
          <w:rFonts w:ascii="宋体" w:hAnsi="宋体" w:cs="宋体"/>
          <w:szCs w:val="21"/>
        </w:rPr>
      </w:pPr>
      <w:r>
        <w:rPr>
          <w:rFonts w:hint="eastAsia" w:ascii="宋体" w:hAnsi="宋体" w:cs="宋体"/>
          <w:szCs w:val="21"/>
        </w:rPr>
        <w:t>5.1 标的物的所有权自标的物交付时转移。</w:t>
      </w:r>
    </w:p>
    <w:p>
      <w:pPr>
        <w:spacing w:line="360" w:lineRule="auto"/>
        <w:ind w:firstLine="424" w:firstLineChars="202"/>
        <w:rPr>
          <w:rFonts w:ascii="宋体" w:hAnsi="宋体" w:cs="宋体"/>
          <w:szCs w:val="21"/>
        </w:rPr>
      </w:pPr>
      <w:r>
        <w:rPr>
          <w:rFonts w:hint="eastAsia" w:ascii="宋体" w:hAnsi="宋体" w:cs="宋体"/>
          <w:szCs w:val="21"/>
        </w:rPr>
        <w:t>5.2 乙方应当按照约定的期限和约定的地点交付标的物。</w:t>
      </w:r>
    </w:p>
    <w:p>
      <w:pPr>
        <w:spacing w:line="360" w:lineRule="auto"/>
        <w:ind w:firstLine="424" w:firstLineChars="202"/>
        <w:rPr>
          <w:rFonts w:ascii="宋体" w:hAnsi="宋体" w:cs="宋体"/>
          <w:szCs w:val="21"/>
        </w:rPr>
      </w:pPr>
      <w:r>
        <w:rPr>
          <w:rFonts w:hint="eastAsia" w:ascii="宋体" w:hAnsi="宋体" w:cs="宋体"/>
          <w:szCs w:val="21"/>
        </w:rPr>
        <w:t>5.3 乙方应当按照约定或者交易习惯向甲方交付提取标的物单证以外的有关单证和资料。</w:t>
      </w:r>
    </w:p>
    <w:p>
      <w:pPr>
        <w:spacing w:line="360" w:lineRule="auto"/>
        <w:ind w:firstLine="424" w:firstLineChars="202"/>
        <w:rPr>
          <w:rFonts w:ascii="宋体" w:hAnsi="宋体" w:cs="宋体"/>
          <w:szCs w:val="21"/>
        </w:rPr>
      </w:pPr>
      <w:r>
        <w:rPr>
          <w:rFonts w:hint="eastAsia" w:ascii="宋体" w:hAnsi="宋体" w:cs="宋体"/>
          <w:szCs w:val="21"/>
        </w:rPr>
        <w:t>5.4产品设备交货、安装调试服务</w:t>
      </w:r>
    </w:p>
    <w:p>
      <w:pPr>
        <w:spacing w:line="360" w:lineRule="auto"/>
        <w:ind w:firstLine="424" w:firstLineChars="202"/>
        <w:rPr>
          <w:rFonts w:ascii="宋体" w:hAnsi="宋体" w:cs="宋体"/>
          <w:szCs w:val="21"/>
        </w:rPr>
      </w:pPr>
      <w:r>
        <w:rPr>
          <w:rFonts w:hint="eastAsia" w:ascii="宋体" w:hAnsi="宋体" w:cs="宋体"/>
          <w:szCs w:val="21"/>
        </w:rPr>
        <w:t xml:space="preserve">5.4.1产品设备交付： </w:t>
      </w:r>
    </w:p>
    <w:p>
      <w:pPr>
        <w:spacing w:line="360" w:lineRule="auto"/>
        <w:ind w:firstLine="424" w:firstLineChars="202"/>
        <w:rPr>
          <w:rFonts w:ascii="宋体" w:hAnsi="宋体" w:cs="宋体"/>
          <w:szCs w:val="21"/>
        </w:rPr>
      </w:pPr>
      <w:r>
        <w:rPr>
          <w:rFonts w:hint="eastAsia" w:ascii="宋体" w:hAnsi="宋体" w:cs="宋体"/>
          <w:szCs w:val="21"/>
        </w:rPr>
        <w:t>① 交货地点：甲方指定地点</w:t>
      </w:r>
    </w:p>
    <w:p>
      <w:pPr>
        <w:spacing w:line="360" w:lineRule="auto"/>
        <w:ind w:firstLine="424" w:firstLineChars="202"/>
        <w:rPr>
          <w:rFonts w:ascii="宋体" w:hAnsi="宋体" w:cs="宋体"/>
          <w:szCs w:val="21"/>
        </w:rPr>
      </w:pPr>
      <w:r>
        <w:rPr>
          <w:rFonts w:hint="eastAsia" w:ascii="宋体" w:hAnsi="宋体" w:cs="宋体"/>
          <w:szCs w:val="21"/>
        </w:rPr>
        <w:t>② 货物装卸、运输涉及到的保险，其费用包含在合同总价中。</w:t>
      </w:r>
    </w:p>
    <w:p>
      <w:pPr>
        <w:spacing w:line="360" w:lineRule="auto"/>
        <w:ind w:firstLine="424" w:firstLineChars="202"/>
        <w:rPr>
          <w:rFonts w:ascii="宋体" w:hAnsi="宋体" w:cs="宋体"/>
          <w:szCs w:val="21"/>
        </w:rPr>
      </w:pPr>
      <w:r>
        <w:rPr>
          <w:rFonts w:hint="eastAsia" w:ascii="宋体" w:hAnsi="宋体" w:cs="宋体"/>
          <w:szCs w:val="21"/>
        </w:rPr>
        <w:t>5.4.2交货期（服务时间）：乙方自合同签定后40日内，根据甲方的送货通知送至指定地点，交货并安装调试完毕。如乙方不能按期完成供货安装、调试、验收交付，甲方有权进行处罚，每延期一天罚款1000元，在货款中扣除。</w:t>
      </w:r>
    </w:p>
    <w:p>
      <w:pPr>
        <w:spacing w:line="360" w:lineRule="auto"/>
        <w:ind w:firstLine="420" w:firstLineChars="200"/>
        <w:rPr>
          <w:rFonts w:ascii="宋体" w:hAnsi="宋体" w:cs="宋体"/>
          <w:szCs w:val="21"/>
        </w:rPr>
      </w:pPr>
      <w:r>
        <w:rPr>
          <w:rFonts w:hint="eastAsia" w:ascii="宋体" w:hAnsi="宋体" w:cs="宋体"/>
          <w:szCs w:val="21"/>
        </w:rPr>
        <w:t>5.4.3乙方发货到甲方指定地点前应先告知甲方。产品交货时，应提供到货产品、材料的清单等。</w:t>
      </w:r>
    </w:p>
    <w:p>
      <w:pPr>
        <w:spacing w:line="360" w:lineRule="auto"/>
        <w:ind w:firstLine="420" w:firstLineChars="200"/>
        <w:rPr>
          <w:rFonts w:ascii="宋体" w:hAnsi="宋体" w:cs="宋体"/>
          <w:szCs w:val="21"/>
        </w:rPr>
      </w:pPr>
      <w:r>
        <w:rPr>
          <w:rFonts w:hint="eastAsia" w:ascii="宋体" w:hAnsi="宋体" w:cs="宋体"/>
          <w:szCs w:val="21"/>
        </w:rPr>
        <w:t>5.4.4按国家相关行业规定安装规范和标准完成安装、服务工作。</w:t>
      </w:r>
    </w:p>
    <w:p>
      <w:pPr>
        <w:widowControl/>
        <w:spacing w:line="360" w:lineRule="auto"/>
        <w:jc w:val="left"/>
        <w:rPr>
          <w:rFonts w:ascii="宋体" w:hAnsi="宋体" w:cs="宋体"/>
          <w:szCs w:val="21"/>
        </w:rPr>
      </w:pPr>
      <w:r>
        <w:rPr>
          <w:rFonts w:hint="eastAsia" w:ascii="宋体" w:hAnsi="宋体" w:cs="宋体"/>
          <w:szCs w:val="21"/>
        </w:rPr>
        <w:t xml:space="preserve">    5.4.5全部货物的外包装必须采用防漏、防潮、防震、防锈、防盗和考虑到可能会发生的野蛮装卸等长途运输及多次装卸之需要。如因乙方包装不当以及其它原因造成损坏或丢失，应由乙方负一切责任。</w:t>
      </w:r>
    </w:p>
    <w:p>
      <w:pPr>
        <w:widowControl/>
        <w:spacing w:line="360" w:lineRule="auto"/>
        <w:ind w:firstLine="420" w:firstLineChars="200"/>
        <w:jc w:val="left"/>
        <w:rPr>
          <w:rFonts w:ascii="宋体" w:hAnsi="宋体" w:cs="宋体"/>
          <w:szCs w:val="21"/>
        </w:rPr>
      </w:pPr>
      <w:r>
        <w:rPr>
          <w:rFonts w:hint="eastAsia" w:ascii="宋体" w:hAnsi="宋体" w:cs="宋体"/>
          <w:szCs w:val="21"/>
        </w:rPr>
        <w:t>5.4.6交货及安装地点：江苏省南通市人民检察院指定地点。</w:t>
      </w:r>
    </w:p>
    <w:p>
      <w:pPr>
        <w:widowControl/>
        <w:spacing w:line="360" w:lineRule="auto"/>
        <w:jc w:val="left"/>
        <w:rPr>
          <w:rFonts w:ascii="宋体" w:hAnsi="宋体" w:cs="宋体"/>
          <w:szCs w:val="21"/>
        </w:rPr>
      </w:pPr>
      <w:r>
        <w:rPr>
          <w:rFonts w:hint="eastAsia" w:ascii="宋体" w:hAnsi="宋体" w:cs="宋体"/>
          <w:szCs w:val="21"/>
        </w:rPr>
        <w:t xml:space="preserve">    六、伴随服务</w:t>
      </w:r>
    </w:p>
    <w:p>
      <w:pPr>
        <w:spacing w:line="360" w:lineRule="auto"/>
        <w:ind w:firstLine="424" w:firstLineChars="202"/>
        <w:rPr>
          <w:rFonts w:ascii="宋体" w:hAnsi="宋体" w:cs="宋体"/>
          <w:szCs w:val="21"/>
        </w:rPr>
      </w:pPr>
      <w:r>
        <w:rPr>
          <w:rFonts w:hint="eastAsia" w:ascii="宋体" w:hAnsi="宋体" w:cs="宋体"/>
          <w:szCs w:val="21"/>
        </w:rPr>
        <w:t>6.1 乙方除应履行按期按量交付合格标的物的义务外，还应当提供下列服务：</w:t>
      </w:r>
    </w:p>
    <w:p>
      <w:pPr>
        <w:spacing w:line="360" w:lineRule="auto"/>
        <w:ind w:firstLine="424" w:firstLineChars="202"/>
        <w:rPr>
          <w:rFonts w:ascii="宋体" w:hAnsi="宋体" w:cs="宋体"/>
          <w:szCs w:val="21"/>
        </w:rPr>
      </w:pPr>
      <w:r>
        <w:rPr>
          <w:rFonts w:hint="eastAsia" w:ascii="宋体" w:hAnsi="宋体" w:cs="宋体"/>
          <w:szCs w:val="21"/>
        </w:rPr>
        <w:t>6.1.1 标的物的现场安装、启动、调试、监督（如果必须安装、调试的话）；</w:t>
      </w:r>
    </w:p>
    <w:p>
      <w:pPr>
        <w:spacing w:line="360" w:lineRule="auto"/>
        <w:ind w:firstLine="424" w:firstLineChars="202"/>
        <w:rPr>
          <w:rFonts w:ascii="宋体" w:hAnsi="宋体" w:cs="宋体"/>
          <w:szCs w:val="21"/>
        </w:rPr>
      </w:pPr>
      <w:r>
        <w:rPr>
          <w:rFonts w:hint="eastAsia" w:ascii="宋体" w:hAnsi="宋体" w:cs="宋体"/>
          <w:szCs w:val="21"/>
        </w:rPr>
        <w:t>6.1.2 提供标的物组装和一般维修所必需的工具；</w:t>
      </w:r>
    </w:p>
    <w:p>
      <w:pPr>
        <w:spacing w:line="360" w:lineRule="auto"/>
        <w:ind w:firstLine="424" w:firstLineChars="202"/>
        <w:rPr>
          <w:rFonts w:ascii="宋体" w:hAnsi="宋体" w:cs="宋体"/>
          <w:szCs w:val="21"/>
        </w:rPr>
      </w:pPr>
      <w:r>
        <w:rPr>
          <w:rFonts w:hint="eastAsia" w:ascii="宋体" w:hAnsi="宋体" w:cs="宋体"/>
          <w:szCs w:val="21"/>
        </w:rPr>
        <w:t>6.1.3 在合同规定的期限内对所提供的标的物实行运行监督、维修服务的前提条件是该服务并不能免除乙方在质量保证期内所承担的义务；</w:t>
      </w:r>
    </w:p>
    <w:p>
      <w:pPr>
        <w:spacing w:line="360" w:lineRule="auto"/>
        <w:ind w:firstLine="424" w:firstLineChars="202"/>
        <w:rPr>
          <w:rFonts w:ascii="宋体" w:hAnsi="宋体" w:cs="宋体"/>
          <w:szCs w:val="21"/>
        </w:rPr>
      </w:pPr>
      <w:r>
        <w:rPr>
          <w:rFonts w:hint="eastAsia" w:ascii="宋体" w:hAnsi="宋体" w:cs="宋体"/>
          <w:szCs w:val="21"/>
        </w:rPr>
        <w:t>6.1.4 对甲方技术人员的技术指导或培训。</w:t>
      </w:r>
    </w:p>
    <w:p>
      <w:pPr>
        <w:spacing w:line="360" w:lineRule="auto"/>
        <w:ind w:firstLine="424" w:firstLineChars="202"/>
        <w:rPr>
          <w:rFonts w:ascii="宋体" w:hAnsi="宋体" w:cs="宋体"/>
          <w:szCs w:val="21"/>
        </w:rPr>
      </w:pPr>
      <w:r>
        <w:rPr>
          <w:rFonts w:hint="eastAsia" w:ascii="宋体" w:hAnsi="宋体" w:cs="宋体"/>
          <w:szCs w:val="21"/>
        </w:rPr>
        <w:t>6.2 除合同另有规定之外，伴随服务的费用均已含在合同价款中，甲方不再另行支付。</w:t>
      </w:r>
    </w:p>
    <w:p>
      <w:pPr>
        <w:spacing w:line="360" w:lineRule="auto"/>
        <w:ind w:firstLine="424" w:firstLineChars="202"/>
        <w:rPr>
          <w:rFonts w:ascii="宋体" w:hAnsi="宋体" w:cs="宋体"/>
          <w:szCs w:val="21"/>
        </w:rPr>
      </w:pPr>
      <w:r>
        <w:rPr>
          <w:rFonts w:hint="eastAsia" w:ascii="宋体" w:hAnsi="宋体" w:cs="宋体"/>
          <w:szCs w:val="21"/>
        </w:rPr>
        <w:t>七、标的物的检验和验收</w:t>
      </w:r>
    </w:p>
    <w:p>
      <w:pPr>
        <w:spacing w:line="360" w:lineRule="auto"/>
        <w:ind w:firstLine="424" w:firstLineChars="202"/>
        <w:rPr>
          <w:rFonts w:ascii="宋体" w:hAnsi="宋体" w:cs="宋体"/>
          <w:szCs w:val="21"/>
        </w:rPr>
      </w:pPr>
      <w:r>
        <w:rPr>
          <w:rFonts w:hint="eastAsia" w:ascii="宋体" w:hAnsi="宋体" w:cs="宋体"/>
          <w:szCs w:val="21"/>
        </w:rPr>
        <w:t>甲方有权在产品制造过程中进行中期验收和交付后抽样检测，如验收不合格，甲方有权中止合同，验收合格，验收所发生的费用由甲方承担，验收不合格所发生的一切费用由乙方承担，按照实际发生的费用从货款中扣除，扣完为止。</w:t>
      </w:r>
    </w:p>
    <w:p>
      <w:pPr>
        <w:spacing w:line="360" w:lineRule="auto"/>
        <w:ind w:firstLine="424" w:firstLineChars="202"/>
        <w:rPr>
          <w:rFonts w:ascii="宋体" w:hAnsi="宋体" w:cs="宋体"/>
          <w:szCs w:val="21"/>
        </w:rPr>
      </w:pPr>
      <w:r>
        <w:rPr>
          <w:rFonts w:hint="eastAsia" w:ascii="宋体" w:hAnsi="宋体" w:cs="宋体"/>
          <w:szCs w:val="21"/>
        </w:rPr>
        <w:t>八、质保及售后服务</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8.1乙方应提供免费质保期</w:t>
      </w:r>
      <w:r>
        <w:rPr>
          <w:rFonts w:hint="eastAsia" w:ascii="宋体" w:hAnsi="宋体" w:cs="宋体"/>
          <w:kern w:val="0"/>
          <w:szCs w:val="21"/>
        </w:rPr>
        <w:t>___</w:t>
      </w:r>
      <w:r>
        <w:rPr>
          <w:rFonts w:hint="eastAsia" w:ascii="宋体" w:hAnsi="宋体" w:cs="宋体"/>
          <w:kern w:val="0"/>
          <w:szCs w:val="21"/>
          <w:lang w:val="zh-CN"/>
        </w:rPr>
        <w:t>年。免费质保期从设备调试验收合格并交付甲方开始正式使用算起。在此期间，因产品制造质量不良而产生损坏或不能正常工作，乙方应免费维修和正常保养。</w:t>
      </w:r>
      <w:r>
        <w:rPr>
          <w:rFonts w:hint="eastAsia" w:ascii="宋体" w:hAnsi="宋体" w:cs="宋体"/>
          <w:bCs/>
          <w:szCs w:val="21"/>
        </w:rPr>
        <w:t>保修期内48小时无法解决故障免费更换整机。</w:t>
      </w:r>
    </w:p>
    <w:p>
      <w:pPr>
        <w:spacing w:line="360" w:lineRule="auto"/>
        <w:ind w:firstLine="420" w:firstLineChars="200"/>
        <w:rPr>
          <w:rFonts w:ascii="宋体" w:hAnsi="宋体" w:cs="宋体"/>
          <w:kern w:val="0"/>
          <w:szCs w:val="21"/>
        </w:rPr>
      </w:pPr>
      <w:r>
        <w:rPr>
          <w:rFonts w:hint="eastAsia" w:ascii="宋体" w:hAnsi="宋体" w:cs="宋体"/>
          <w:kern w:val="0"/>
          <w:szCs w:val="21"/>
          <w:lang w:val="zh-CN"/>
        </w:rPr>
        <w:t>8.2乙方接到甲方通知后小时以内到达现场，一般故障须在小时内解决，重大故障须在小时内解决。不履行承诺的将扣除质保金，并由区相关部门酌情进行信誉度处罚。</w:t>
      </w:r>
    </w:p>
    <w:p>
      <w:pPr>
        <w:spacing w:line="360" w:lineRule="auto"/>
        <w:ind w:firstLine="420" w:firstLineChars="200"/>
        <w:rPr>
          <w:rFonts w:ascii="宋体" w:hAnsi="宋体" w:cs="宋体"/>
          <w:kern w:val="0"/>
          <w:szCs w:val="21"/>
          <w:lang w:val="zh-CN"/>
        </w:rPr>
      </w:pPr>
      <w:r>
        <w:rPr>
          <w:rFonts w:hint="eastAsia" w:ascii="宋体" w:hAnsi="宋体" w:cs="宋体"/>
          <w:kern w:val="0"/>
          <w:szCs w:val="21"/>
        </w:rPr>
        <w:t>8.3</w:t>
      </w:r>
      <w:r>
        <w:rPr>
          <w:rFonts w:hint="eastAsia" w:ascii="宋体" w:hAnsi="宋体" w:cs="宋体"/>
          <w:kern w:val="0"/>
          <w:szCs w:val="21"/>
          <w:lang w:val="zh-CN"/>
        </w:rPr>
        <w:t>在质量保证期内，除不可抗力和采购单位人为的原因外，供应商应无偿承担故障维修，更换零配件的义务，确系质量原因无法正常工作时，供应商应无偿更换全新合格产品。质量保证期后，如采购单位委托供应商承担系统的维保业务，供应商必须对所提供的设备及系统定期进行检查和保养，并负责维护，对于损坏的零部件，供应商应保证以不高于在设备生产地购买的一般价格提供给采购单位。</w:t>
      </w:r>
    </w:p>
    <w:p>
      <w:pPr>
        <w:spacing w:line="360" w:lineRule="auto"/>
        <w:ind w:firstLine="424" w:firstLineChars="202"/>
        <w:rPr>
          <w:rFonts w:ascii="宋体" w:hAnsi="宋体" w:cs="宋体"/>
          <w:szCs w:val="21"/>
        </w:rPr>
      </w:pPr>
      <w:r>
        <w:rPr>
          <w:rFonts w:hint="eastAsia" w:ascii="宋体" w:hAnsi="宋体" w:cs="宋体"/>
          <w:szCs w:val="21"/>
        </w:rPr>
        <w:t>8.4乙方应对采购单位设备操作人员进行简单维护、维修培训，确保使用者了解维护方法和进行简单的维修操作。</w:t>
      </w:r>
    </w:p>
    <w:p>
      <w:pPr>
        <w:spacing w:line="360" w:lineRule="auto"/>
        <w:ind w:firstLine="424" w:firstLineChars="202"/>
        <w:rPr>
          <w:rFonts w:ascii="宋体" w:hAnsi="宋体" w:cs="宋体"/>
          <w:szCs w:val="21"/>
        </w:rPr>
      </w:pPr>
      <w:r>
        <w:rPr>
          <w:rFonts w:hint="eastAsia" w:ascii="宋体" w:hAnsi="宋体" w:cs="宋体"/>
          <w:szCs w:val="21"/>
        </w:rPr>
        <w:t>8.3所有货品由乙方免费按时送达指定地点，并安装调配好。</w:t>
      </w:r>
    </w:p>
    <w:p>
      <w:pPr>
        <w:spacing w:line="360" w:lineRule="auto"/>
        <w:ind w:firstLine="424" w:firstLineChars="202"/>
        <w:rPr>
          <w:rFonts w:ascii="宋体" w:hAnsi="宋体" w:cs="宋体"/>
          <w:szCs w:val="21"/>
        </w:rPr>
      </w:pPr>
      <w:r>
        <w:rPr>
          <w:rFonts w:hint="eastAsia" w:ascii="宋体" w:hAnsi="宋体" w:cs="宋体"/>
          <w:szCs w:val="21"/>
        </w:rPr>
        <w:t>九、违约责任</w:t>
      </w:r>
    </w:p>
    <w:p>
      <w:pPr>
        <w:spacing w:line="360" w:lineRule="auto"/>
        <w:ind w:firstLine="424" w:firstLineChars="202"/>
        <w:rPr>
          <w:rFonts w:ascii="宋体" w:hAnsi="宋体" w:cs="宋体"/>
          <w:szCs w:val="21"/>
        </w:rPr>
      </w:pPr>
      <w:r>
        <w:rPr>
          <w:rFonts w:hint="eastAsia" w:ascii="宋体" w:hAnsi="宋体" w:cs="宋体"/>
          <w:szCs w:val="21"/>
        </w:rPr>
        <w:t>合同一方不履行合同义务或者履行合同义务不符合约定的，应当承担继续履行、采取补救措施或赔偿损失等违约责任。</w:t>
      </w:r>
    </w:p>
    <w:p>
      <w:pPr>
        <w:spacing w:line="360" w:lineRule="auto"/>
        <w:ind w:firstLine="424" w:firstLineChars="202"/>
        <w:rPr>
          <w:rFonts w:ascii="宋体" w:hAnsi="宋体" w:cs="宋体"/>
          <w:szCs w:val="21"/>
        </w:rPr>
      </w:pPr>
      <w:r>
        <w:rPr>
          <w:rFonts w:hint="eastAsia" w:ascii="宋体" w:hAnsi="宋体" w:cs="宋体"/>
          <w:szCs w:val="21"/>
        </w:rPr>
        <w:t>9.1 甲方违约责任</w:t>
      </w:r>
    </w:p>
    <w:p>
      <w:pPr>
        <w:spacing w:line="360" w:lineRule="auto"/>
        <w:ind w:firstLine="424" w:firstLineChars="202"/>
        <w:rPr>
          <w:rFonts w:ascii="宋体" w:hAnsi="宋体" w:cs="宋体"/>
          <w:szCs w:val="21"/>
        </w:rPr>
      </w:pPr>
      <w:r>
        <w:rPr>
          <w:rFonts w:hint="eastAsia" w:ascii="宋体" w:hAnsi="宋体" w:cs="宋体"/>
          <w:szCs w:val="21"/>
        </w:rPr>
        <w:t>9.1.1在合同生效后，非乙方原因甲方要求退货的，应向乙方偿付合同总价款的5 %，作为违约金。</w:t>
      </w:r>
    </w:p>
    <w:p>
      <w:pPr>
        <w:spacing w:line="360" w:lineRule="auto"/>
        <w:ind w:firstLine="424" w:firstLineChars="202"/>
        <w:rPr>
          <w:rFonts w:ascii="宋体" w:hAnsi="宋体" w:cs="宋体"/>
          <w:szCs w:val="21"/>
        </w:rPr>
      </w:pPr>
      <w:r>
        <w:rPr>
          <w:rFonts w:hint="eastAsia" w:ascii="宋体" w:hAnsi="宋体" w:cs="宋体"/>
          <w:szCs w:val="21"/>
        </w:rPr>
        <w:t>9.1.2 甲方违反合同规定，拒绝接收乙方交付的合格标的物，应当承担乙方由此造成的损失。</w:t>
      </w:r>
    </w:p>
    <w:p>
      <w:pPr>
        <w:spacing w:line="360" w:lineRule="auto"/>
        <w:ind w:firstLine="424" w:firstLineChars="202"/>
        <w:rPr>
          <w:rFonts w:ascii="宋体" w:hAnsi="宋体" w:cs="宋体"/>
          <w:szCs w:val="21"/>
        </w:rPr>
      </w:pPr>
      <w:r>
        <w:rPr>
          <w:rFonts w:hint="eastAsia" w:ascii="宋体" w:hAnsi="宋体" w:cs="宋体"/>
          <w:szCs w:val="21"/>
        </w:rPr>
        <w:t>9.2 乙方违约责任</w:t>
      </w:r>
    </w:p>
    <w:p>
      <w:pPr>
        <w:spacing w:line="360" w:lineRule="auto"/>
        <w:ind w:firstLine="424" w:firstLineChars="202"/>
        <w:rPr>
          <w:rFonts w:ascii="宋体" w:hAnsi="宋体" w:cs="宋体"/>
          <w:szCs w:val="21"/>
        </w:rPr>
      </w:pPr>
      <w:r>
        <w:rPr>
          <w:rFonts w:hint="eastAsia" w:ascii="宋体" w:hAnsi="宋体" w:cs="宋体"/>
          <w:szCs w:val="21"/>
        </w:rPr>
        <w:t>9.2.1 乙方交货不合格从而影响甲方按期正常使用的，应向甲方偿付合同总价款10%的违约金，违约金不足以补偿损失的，甲方有权要求乙方补足。</w:t>
      </w:r>
    </w:p>
    <w:p>
      <w:pPr>
        <w:spacing w:line="360" w:lineRule="auto"/>
        <w:ind w:firstLine="424" w:firstLineChars="202"/>
        <w:rPr>
          <w:rFonts w:ascii="宋体" w:hAnsi="宋体" w:cs="宋体"/>
          <w:szCs w:val="21"/>
        </w:rPr>
      </w:pPr>
      <w:r>
        <w:rPr>
          <w:rFonts w:hint="eastAsia" w:ascii="宋体" w:hAnsi="宋体" w:cs="宋体"/>
          <w:szCs w:val="21"/>
        </w:rPr>
        <w:t>9.2.2工期超期：因乙方责任不能按期完成供货安装、调试、验收交付及因乙方造成货物质量存在问题而返工等原因，最终导致工期拖延超期，乙方承担迟延履行违约责任。工程延期费为每延迟1天，扣除1000元，同时承担甲方因此遭致的损失费用，并最终在货款中扣除。</w:t>
      </w:r>
    </w:p>
    <w:p>
      <w:pPr>
        <w:spacing w:line="360" w:lineRule="auto"/>
        <w:ind w:firstLine="424" w:firstLineChars="202"/>
        <w:rPr>
          <w:rFonts w:ascii="宋体" w:hAnsi="宋体" w:cs="宋体"/>
          <w:szCs w:val="21"/>
        </w:rPr>
      </w:pPr>
      <w:r>
        <w:rPr>
          <w:rFonts w:hint="eastAsia" w:ascii="宋体" w:hAnsi="宋体" w:cs="宋体"/>
          <w:szCs w:val="21"/>
        </w:rPr>
        <w:t>十、不可抗力</w:t>
      </w:r>
    </w:p>
    <w:p>
      <w:pPr>
        <w:spacing w:line="360" w:lineRule="auto"/>
        <w:ind w:firstLine="424" w:firstLineChars="202"/>
        <w:rPr>
          <w:rFonts w:ascii="宋体" w:hAnsi="宋体" w:cs="宋体"/>
          <w:szCs w:val="21"/>
        </w:rPr>
      </w:pPr>
      <w:r>
        <w:rPr>
          <w:rFonts w:hint="eastAsia" w:ascii="宋体" w:hAnsi="宋体" w:cs="宋体"/>
          <w:szCs w:val="21"/>
        </w:rPr>
        <w:t>10.1 因不可抗力不能履行合同的，根据不可抗力的影响，部分或者全部免除责任。但合同一方延迟履行后发生不可抗力的，不能免除责任。</w:t>
      </w:r>
    </w:p>
    <w:p>
      <w:pPr>
        <w:spacing w:line="360" w:lineRule="auto"/>
        <w:ind w:firstLine="424" w:firstLineChars="202"/>
        <w:rPr>
          <w:rFonts w:ascii="宋体" w:hAnsi="宋体" w:cs="宋体"/>
          <w:szCs w:val="21"/>
        </w:rPr>
      </w:pPr>
      <w:r>
        <w:rPr>
          <w:rFonts w:hint="eastAsia" w:ascii="宋体" w:hAnsi="宋体" w:cs="宋体"/>
          <w:szCs w:val="21"/>
        </w:rPr>
        <w:t>10.2 合同一方因不可抗力不能履行合同的，应当及时通知对方，以减轻可能给对方造成的损失，并应当在合理期限内提供证明。</w:t>
      </w:r>
    </w:p>
    <w:p>
      <w:pPr>
        <w:spacing w:line="360" w:lineRule="auto"/>
        <w:ind w:firstLine="424" w:firstLineChars="202"/>
        <w:rPr>
          <w:rFonts w:ascii="宋体" w:hAnsi="宋体" w:cs="宋体"/>
          <w:szCs w:val="21"/>
        </w:rPr>
      </w:pPr>
      <w:r>
        <w:rPr>
          <w:rFonts w:hint="eastAsia" w:ascii="宋体" w:hAnsi="宋体" w:cs="宋体"/>
          <w:szCs w:val="21"/>
        </w:rPr>
        <w:t>十一、索赔</w:t>
      </w:r>
    </w:p>
    <w:p>
      <w:pPr>
        <w:spacing w:line="360" w:lineRule="auto"/>
        <w:ind w:firstLine="424" w:firstLineChars="202"/>
        <w:rPr>
          <w:rFonts w:ascii="宋体" w:hAnsi="宋体" w:cs="宋体"/>
          <w:szCs w:val="21"/>
        </w:rPr>
      </w:pPr>
      <w:r>
        <w:rPr>
          <w:rFonts w:hint="eastAsia" w:ascii="宋体" w:hAnsi="宋体" w:cs="宋体"/>
          <w:szCs w:val="21"/>
        </w:rPr>
        <w:t>11.1 甲方有权根据当地产品质量检验机构或其他有权部门出具的检验证书向乙方提出索赔。</w:t>
      </w:r>
    </w:p>
    <w:p>
      <w:pPr>
        <w:spacing w:line="360" w:lineRule="auto"/>
        <w:ind w:firstLine="424" w:firstLineChars="202"/>
        <w:rPr>
          <w:rFonts w:ascii="宋体" w:hAnsi="宋体" w:cs="宋体"/>
          <w:szCs w:val="21"/>
        </w:rPr>
      </w:pPr>
      <w:r>
        <w:rPr>
          <w:rFonts w:hint="eastAsia" w:ascii="宋体" w:hAnsi="宋体" w:cs="宋体"/>
          <w:szCs w:val="21"/>
        </w:rPr>
        <w:t>11.2 在本合同规定的检验期限和质量保证期内，如果乙方对甲方提出的索赔或差异有责任，则乙方应按甲方同意的下列一种或多种方式解决索赔事宜：</w:t>
      </w:r>
    </w:p>
    <w:p>
      <w:pPr>
        <w:spacing w:line="360" w:lineRule="auto"/>
        <w:ind w:firstLine="424" w:firstLineChars="202"/>
        <w:rPr>
          <w:rFonts w:ascii="宋体" w:hAnsi="宋体" w:cs="宋体"/>
          <w:szCs w:val="21"/>
        </w:rPr>
      </w:pPr>
      <w:r>
        <w:rPr>
          <w:rFonts w:hint="eastAsia" w:ascii="宋体" w:hAnsi="宋体" w:cs="宋体"/>
          <w:szCs w:val="21"/>
        </w:rPr>
        <w:t>11.2.1 乙方同意退货，并按合同规定的货币将货款退还给甲方，并且承担由此发生的一切损失和费用，包括利息、银行手续费、运费、保险费、检验费、仓储费、装卸费以及为保护退回标的物所需的其他必要费用。</w:t>
      </w:r>
    </w:p>
    <w:p>
      <w:pPr>
        <w:spacing w:line="360" w:lineRule="auto"/>
        <w:ind w:firstLine="424" w:firstLineChars="202"/>
        <w:rPr>
          <w:rFonts w:ascii="宋体" w:hAnsi="宋体" w:cs="宋体"/>
          <w:szCs w:val="21"/>
        </w:rPr>
      </w:pPr>
      <w:r>
        <w:rPr>
          <w:rFonts w:hint="eastAsia" w:ascii="宋体" w:hAnsi="宋体" w:cs="宋体"/>
          <w:szCs w:val="21"/>
        </w:rPr>
        <w:t>11.2.2 根据标的物的低劣程度、损坏程度以及甲方遭受损失的数额，经双方协商确定降低标的物的价格。</w:t>
      </w:r>
    </w:p>
    <w:p>
      <w:pPr>
        <w:spacing w:line="360" w:lineRule="auto"/>
        <w:ind w:firstLine="424" w:firstLineChars="202"/>
        <w:rPr>
          <w:rFonts w:ascii="宋体" w:hAnsi="宋体" w:cs="宋体"/>
          <w:szCs w:val="21"/>
        </w:rPr>
      </w:pPr>
      <w:r>
        <w:rPr>
          <w:rFonts w:hint="eastAsia" w:ascii="宋体" w:hAnsi="宋体" w:cs="宋体"/>
          <w:szCs w:val="21"/>
        </w:rPr>
        <w:t>11.2.3 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pPr>
        <w:spacing w:line="360" w:lineRule="auto"/>
        <w:ind w:firstLine="424" w:firstLineChars="202"/>
        <w:rPr>
          <w:rFonts w:ascii="宋体" w:hAnsi="宋体" w:cs="宋体"/>
          <w:szCs w:val="21"/>
        </w:rPr>
      </w:pPr>
      <w:r>
        <w:rPr>
          <w:rFonts w:hint="eastAsia" w:ascii="宋体" w:hAnsi="宋体" w:cs="宋体"/>
          <w:szCs w:val="21"/>
        </w:rPr>
        <w:t xml:space="preserve">11.3 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 </w:t>
      </w:r>
    </w:p>
    <w:p>
      <w:pPr>
        <w:widowControl/>
        <w:spacing w:line="360" w:lineRule="auto"/>
        <w:ind w:left="420" w:leftChars="200"/>
        <w:jc w:val="left"/>
        <w:rPr>
          <w:rFonts w:ascii="宋体" w:hAnsi="宋体" w:cs="宋体"/>
          <w:szCs w:val="21"/>
        </w:rPr>
      </w:pPr>
      <w:r>
        <w:rPr>
          <w:rFonts w:hint="eastAsia" w:ascii="宋体" w:hAnsi="宋体" w:cs="宋体"/>
          <w:szCs w:val="21"/>
        </w:rPr>
        <w:t>十二、安全责任</w:t>
      </w:r>
    </w:p>
    <w:p>
      <w:pPr>
        <w:widowControl/>
        <w:spacing w:line="360" w:lineRule="auto"/>
        <w:ind w:firstLine="420" w:firstLineChars="200"/>
        <w:jc w:val="left"/>
        <w:rPr>
          <w:rFonts w:ascii="宋体" w:hAnsi="宋体" w:cs="宋体"/>
          <w:szCs w:val="21"/>
        </w:rPr>
      </w:pPr>
      <w:r>
        <w:rPr>
          <w:rFonts w:hint="eastAsia" w:ascii="宋体" w:hAnsi="宋体" w:cs="宋体"/>
          <w:szCs w:val="21"/>
        </w:rPr>
        <w:t>乙方在安装调试过程中必须具有完善的安全措施，按规范采取安全防护措施，在施工中的一切安全责任由乙方自行承担。</w:t>
      </w:r>
    </w:p>
    <w:p>
      <w:pPr>
        <w:spacing w:line="360" w:lineRule="auto"/>
        <w:ind w:firstLine="424" w:firstLineChars="202"/>
        <w:rPr>
          <w:rFonts w:ascii="宋体" w:hAnsi="宋体" w:cs="宋体"/>
          <w:szCs w:val="21"/>
        </w:rPr>
      </w:pPr>
      <w:r>
        <w:rPr>
          <w:rFonts w:hint="eastAsia" w:ascii="宋体" w:hAnsi="宋体" w:cs="宋体"/>
          <w:szCs w:val="21"/>
        </w:rPr>
        <w:t>十三、合同的解除和转让</w:t>
      </w:r>
    </w:p>
    <w:p>
      <w:pPr>
        <w:spacing w:line="360" w:lineRule="auto"/>
        <w:ind w:firstLine="424" w:firstLineChars="202"/>
        <w:rPr>
          <w:rFonts w:ascii="宋体" w:hAnsi="宋体" w:cs="宋体"/>
          <w:szCs w:val="21"/>
        </w:rPr>
      </w:pPr>
      <w:r>
        <w:rPr>
          <w:rFonts w:hint="eastAsia" w:ascii="宋体" w:hAnsi="宋体" w:cs="宋体"/>
          <w:szCs w:val="21"/>
        </w:rPr>
        <w:t>13.1 甲方和乙方协商一致，可以解除合同。</w:t>
      </w:r>
    </w:p>
    <w:p>
      <w:pPr>
        <w:spacing w:line="360" w:lineRule="auto"/>
        <w:ind w:firstLine="424" w:firstLineChars="202"/>
        <w:rPr>
          <w:rFonts w:ascii="宋体" w:hAnsi="宋体" w:cs="宋体"/>
          <w:szCs w:val="21"/>
        </w:rPr>
      </w:pPr>
      <w:r>
        <w:rPr>
          <w:rFonts w:hint="eastAsia" w:ascii="宋体" w:hAnsi="宋体" w:cs="宋体"/>
          <w:szCs w:val="21"/>
        </w:rPr>
        <w:t>13.2 有下列情形之一，合同一方可以解除合同：</w:t>
      </w:r>
    </w:p>
    <w:p>
      <w:pPr>
        <w:spacing w:line="360" w:lineRule="auto"/>
        <w:ind w:firstLine="424" w:firstLineChars="202"/>
        <w:rPr>
          <w:rFonts w:ascii="宋体" w:hAnsi="宋体" w:cs="宋体"/>
          <w:szCs w:val="21"/>
        </w:rPr>
      </w:pPr>
      <w:r>
        <w:rPr>
          <w:rFonts w:hint="eastAsia" w:ascii="宋体" w:hAnsi="宋体" w:cs="宋体"/>
          <w:szCs w:val="21"/>
        </w:rPr>
        <w:t>13.2.1 因不可抗力致使不能实现合同目的，未受不可抗力影响的一方有权解除合同；</w:t>
      </w:r>
    </w:p>
    <w:p>
      <w:pPr>
        <w:spacing w:line="360" w:lineRule="auto"/>
        <w:ind w:firstLine="424" w:firstLineChars="202"/>
        <w:rPr>
          <w:rFonts w:ascii="宋体" w:hAnsi="宋体" w:cs="宋体"/>
          <w:szCs w:val="21"/>
        </w:rPr>
      </w:pPr>
      <w:r>
        <w:rPr>
          <w:rFonts w:hint="eastAsia" w:ascii="宋体" w:hAnsi="宋体" w:cs="宋体"/>
          <w:szCs w:val="21"/>
        </w:rPr>
        <w:t>13.2.2 因合同一方违约导致合同不能履行，另一方有权解除合同；</w:t>
      </w:r>
    </w:p>
    <w:p>
      <w:pPr>
        <w:spacing w:line="360" w:lineRule="auto"/>
        <w:ind w:firstLine="424" w:firstLineChars="202"/>
        <w:rPr>
          <w:rFonts w:ascii="宋体" w:hAnsi="宋体" w:cs="宋体"/>
          <w:szCs w:val="21"/>
        </w:rPr>
      </w:pPr>
      <w:r>
        <w:rPr>
          <w:rFonts w:hint="eastAsia" w:ascii="宋体" w:hAnsi="宋体" w:cs="宋体"/>
          <w:szCs w:val="21"/>
        </w:rPr>
        <w:t>13.2.3 有权解除合同的一方，应当在违约事实或不可抗力发生之后三十天内书面通知对方以主张解除合同，合同在书面通知到达对方时解除。</w:t>
      </w:r>
    </w:p>
    <w:p>
      <w:pPr>
        <w:spacing w:line="360" w:lineRule="auto"/>
        <w:ind w:firstLine="424" w:firstLineChars="202"/>
        <w:rPr>
          <w:rFonts w:ascii="宋体" w:hAnsi="宋体" w:cs="宋体"/>
          <w:szCs w:val="21"/>
        </w:rPr>
      </w:pPr>
      <w:r>
        <w:rPr>
          <w:rFonts w:hint="eastAsia" w:ascii="宋体" w:hAnsi="宋体" w:cs="宋体"/>
          <w:szCs w:val="21"/>
        </w:rPr>
        <w:t>13.3 合同的部分和全部都不得转让。</w:t>
      </w:r>
    </w:p>
    <w:p>
      <w:pPr>
        <w:spacing w:line="360" w:lineRule="auto"/>
        <w:ind w:firstLine="424" w:firstLineChars="202"/>
        <w:rPr>
          <w:rFonts w:ascii="宋体" w:hAnsi="宋体" w:cs="宋体"/>
          <w:szCs w:val="21"/>
        </w:rPr>
      </w:pPr>
      <w:r>
        <w:rPr>
          <w:rFonts w:hint="eastAsia" w:ascii="宋体" w:hAnsi="宋体" w:cs="宋体"/>
          <w:szCs w:val="21"/>
        </w:rPr>
        <w:t>十四、合同的生效</w:t>
      </w:r>
    </w:p>
    <w:p>
      <w:pPr>
        <w:snapToGrid w:val="0"/>
        <w:spacing w:line="360" w:lineRule="auto"/>
        <w:ind w:firstLine="573"/>
        <w:rPr>
          <w:rFonts w:ascii="宋体" w:hAnsi="宋体" w:cs="宋体"/>
          <w:b/>
          <w:bCs/>
          <w:szCs w:val="21"/>
        </w:rPr>
      </w:pPr>
      <w:r>
        <w:rPr>
          <w:rFonts w:hint="eastAsia" w:ascii="宋体" w:hAnsi="宋体" w:cs="宋体"/>
          <w:szCs w:val="21"/>
        </w:rPr>
        <w:t>本合同在甲乙双方签字盖章后即生效。</w:t>
      </w:r>
    </w:p>
    <w:p>
      <w:pPr>
        <w:spacing w:line="360" w:lineRule="auto"/>
        <w:ind w:firstLine="424" w:firstLineChars="202"/>
        <w:rPr>
          <w:rFonts w:ascii="宋体" w:hAnsi="宋体" w:cs="宋体"/>
          <w:szCs w:val="21"/>
        </w:rPr>
      </w:pPr>
      <w:r>
        <w:rPr>
          <w:rFonts w:hint="eastAsia" w:ascii="宋体" w:hAnsi="宋体" w:cs="宋体"/>
          <w:szCs w:val="21"/>
        </w:rPr>
        <w:t>十五、争议的解决</w:t>
      </w:r>
    </w:p>
    <w:p>
      <w:pPr>
        <w:spacing w:line="360" w:lineRule="auto"/>
        <w:ind w:firstLine="424" w:firstLineChars="202"/>
        <w:rPr>
          <w:rFonts w:ascii="宋体" w:hAnsi="宋体" w:cs="宋体"/>
          <w:szCs w:val="21"/>
        </w:rPr>
      </w:pPr>
      <w:r>
        <w:rPr>
          <w:rFonts w:hint="eastAsia" w:ascii="宋体" w:hAnsi="宋体" w:cs="宋体"/>
          <w:szCs w:val="21"/>
        </w:rPr>
        <w:t>甲乙双方因合同发生争议，应在采购人的主持下进行调解，协商不成，任何一方可以向南通仲裁委员会申请仲裁。</w:t>
      </w:r>
    </w:p>
    <w:p>
      <w:pPr>
        <w:spacing w:line="360" w:lineRule="auto"/>
        <w:ind w:firstLine="424" w:firstLineChars="202"/>
        <w:rPr>
          <w:rFonts w:ascii="宋体" w:hAnsi="宋体" w:cs="宋体"/>
          <w:szCs w:val="21"/>
        </w:rPr>
      </w:pPr>
      <w:r>
        <w:rPr>
          <w:rFonts w:hint="eastAsia" w:ascii="宋体" w:hAnsi="宋体" w:cs="宋体"/>
          <w:szCs w:val="21"/>
        </w:rPr>
        <w:t>十六、附则</w:t>
      </w:r>
    </w:p>
    <w:p>
      <w:pPr>
        <w:spacing w:line="360" w:lineRule="auto"/>
        <w:ind w:firstLine="424" w:firstLineChars="202"/>
        <w:rPr>
          <w:rFonts w:ascii="宋体" w:hAnsi="宋体" w:cs="宋体"/>
          <w:szCs w:val="21"/>
        </w:rPr>
      </w:pPr>
      <w:r>
        <w:rPr>
          <w:rFonts w:hint="eastAsia" w:ascii="宋体" w:hAnsi="宋体" w:cs="宋体"/>
          <w:szCs w:val="21"/>
        </w:rPr>
        <w:t>16.1 合同份数：本合同一式肆份，采购人、供应商各两份。</w:t>
      </w:r>
    </w:p>
    <w:p>
      <w:pPr>
        <w:spacing w:line="360" w:lineRule="auto"/>
        <w:ind w:firstLine="424" w:firstLineChars="202"/>
        <w:rPr>
          <w:rFonts w:ascii="宋体" w:hAnsi="宋体" w:cs="宋体"/>
          <w:szCs w:val="21"/>
        </w:rPr>
      </w:pPr>
      <w:r>
        <w:rPr>
          <w:rFonts w:hint="eastAsia" w:ascii="宋体" w:hAnsi="宋体" w:cs="宋体"/>
          <w:szCs w:val="21"/>
        </w:rPr>
        <w:t>16.2 本合同文件使用中文书写、解释和说明。</w:t>
      </w:r>
    </w:p>
    <w:p>
      <w:pPr>
        <w:spacing w:line="360" w:lineRule="auto"/>
        <w:ind w:firstLine="424" w:firstLineChars="202"/>
        <w:rPr>
          <w:rFonts w:ascii="宋体" w:hAnsi="宋体" w:cs="宋体"/>
          <w:szCs w:val="21"/>
        </w:rPr>
      </w:pPr>
      <w:r>
        <w:rPr>
          <w:rFonts w:hint="eastAsia" w:ascii="宋体" w:hAnsi="宋体" w:cs="宋体"/>
          <w:szCs w:val="21"/>
        </w:rPr>
        <w:t>16.3 本合同履行过程中产生的纪要、协议以及成交通知书、采购响应文件和采购文件为本合同的附件，与合同具有同等效力。</w:t>
      </w:r>
    </w:p>
    <w:p>
      <w:pPr>
        <w:spacing w:line="360" w:lineRule="auto"/>
        <w:ind w:firstLine="424" w:firstLineChars="202"/>
        <w:rPr>
          <w:rFonts w:ascii="宋体" w:hAnsi="宋体" w:cs="宋体"/>
          <w:szCs w:val="21"/>
        </w:rPr>
      </w:pPr>
      <w:r>
        <w:rPr>
          <w:rFonts w:hint="eastAsia" w:ascii="宋体" w:hAnsi="宋体" w:cs="宋体"/>
          <w:szCs w:val="21"/>
        </w:rPr>
        <w:t>16.4 未尽事宜</w:t>
      </w:r>
    </w:p>
    <w:p>
      <w:pPr>
        <w:spacing w:line="360" w:lineRule="auto"/>
        <w:ind w:firstLine="424" w:firstLineChars="202"/>
        <w:rPr>
          <w:rFonts w:ascii="宋体" w:hAnsi="宋体" w:cs="宋体"/>
          <w:szCs w:val="21"/>
        </w:rPr>
      </w:pPr>
      <w:r>
        <w:rPr>
          <w:rFonts w:hint="eastAsia" w:ascii="宋体" w:hAnsi="宋体" w:cs="宋体"/>
          <w:szCs w:val="21"/>
        </w:rPr>
        <w:t>本合同未尽事宜应按照《中华人民共和国合同法》《中华人民共和国产品质量法》《中华人民共和国政府采购法》及其相关配套法律法规之规定解释。</w:t>
      </w:r>
    </w:p>
    <w:p>
      <w:pPr>
        <w:spacing w:after="60" w:line="360" w:lineRule="auto"/>
        <w:rPr>
          <w:rFonts w:ascii="宋体" w:hAnsi="宋体" w:cs="宋体"/>
          <w:szCs w:val="21"/>
        </w:rPr>
      </w:pPr>
    </w:p>
    <w:p>
      <w:pPr>
        <w:spacing w:after="60" w:line="360" w:lineRule="auto"/>
        <w:rPr>
          <w:rFonts w:ascii="宋体" w:hAnsi="宋体" w:cs="宋体"/>
          <w:szCs w:val="21"/>
        </w:rPr>
      </w:pPr>
      <w:r>
        <w:rPr>
          <w:rFonts w:hint="eastAsia" w:ascii="宋体" w:hAnsi="宋体" w:cs="宋体"/>
          <w:szCs w:val="21"/>
        </w:rPr>
        <w:t>采购人（或甲方）：               成交供应商（或乙方）：</w:t>
      </w:r>
    </w:p>
    <w:p>
      <w:pPr>
        <w:spacing w:after="60" w:line="360" w:lineRule="auto"/>
        <w:rPr>
          <w:rFonts w:ascii="宋体" w:hAnsi="宋体" w:cs="宋体"/>
          <w:szCs w:val="21"/>
        </w:rPr>
      </w:pPr>
      <w:r>
        <w:rPr>
          <w:rFonts w:hint="eastAsia" w:ascii="宋体" w:hAnsi="宋体" w:cs="宋体"/>
          <w:szCs w:val="21"/>
        </w:rPr>
        <w:t>法定代表人：                     法定代表人：</w:t>
      </w:r>
    </w:p>
    <w:p>
      <w:pPr>
        <w:spacing w:after="60" w:line="360" w:lineRule="auto"/>
        <w:rPr>
          <w:rFonts w:ascii="宋体" w:hAnsi="宋体" w:cs="宋体"/>
          <w:szCs w:val="21"/>
        </w:rPr>
      </w:pPr>
      <w:r>
        <w:rPr>
          <w:rFonts w:hint="eastAsia" w:ascii="宋体" w:hAnsi="宋体" w:cs="宋体"/>
          <w:szCs w:val="21"/>
        </w:rPr>
        <w:t>委托代理人：                     委托代理人：</w:t>
      </w:r>
    </w:p>
    <w:p>
      <w:pPr>
        <w:pStyle w:val="2"/>
        <w:spacing w:line="360" w:lineRule="auto"/>
        <w:ind w:left="0" w:leftChars="0" w:firstLine="210" w:firstLineChars="100"/>
        <w:rPr>
          <w:szCs w:val="21"/>
        </w:rPr>
      </w:pPr>
      <w:r>
        <w:rPr>
          <w:rFonts w:hint="eastAsia" w:ascii="宋体" w:hAnsi="宋体" w:cs="宋体"/>
          <w:szCs w:val="21"/>
        </w:rPr>
        <w:t>年  月  日                     年  月  日</w:t>
      </w:r>
    </w:p>
    <w:p>
      <w:pPr>
        <w:pStyle w:val="2"/>
        <w:spacing w:line="360" w:lineRule="auto"/>
        <w:rPr>
          <w:szCs w:val="21"/>
        </w:rPr>
      </w:pPr>
    </w:p>
    <w:p>
      <w:pPr>
        <w:spacing w:after="60" w:line="360" w:lineRule="auto"/>
        <w:rPr>
          <w:rFonts w:ascii="宋体" w:hAnsi="宋体" w:cs="宋体"/>
          <w:szCs w:val="21"/>
        </w:rPr>
      </w:pPr>
    </w:p>
    <w:p>
      <w:pPr>
        <w:spacing w:after="60" w:line="360" w:lineRule="auto"/>
        <w:rPr>
          <w:rFonts w:ascii="宋体" w:hAnsi="宋体" w:cs="宋体"/>
          <w:sz w:val="24"/>
        </w:rPr>
      </w:pPr>
    </w:p>
    <w:p>
      <w:pPr>
        <w:pStyle w:val="13"/>
        <w:tabs>
          <w:tab w:val="left" w:pos="1050"/>
          <w:tab w:val="right" w:leader="dot" w:pos="9402"/>
        </w:tabs>
        <w:spacing w:line="520" w:lineRule="exact"/>
        <w:ind w:left="0" w:leftChars="0"/>
        <w:jc w:val="center"/>
        <w:outlineLvl w:val="0"/>
        <w:rPr>
          <w:rFonts w:ascii="宋体" w:hAnsi="宋体" w:cs="宋体"/>
          <w:b/>
          <w:iCs/>
          <w:w w:val="80"/>
          <w:sz w:val="44"/>
          <w:szCs w:val="44"/>
        </w:rPr>
      </w:pPr>
      <w:r>
        <w:rPr>
          <w:rFonts w:hint="eastAsia" w:ascii="宋体" w:hAnsi="宋体" w:cs="宋体"/>
          <w:b/>
          <w:iCs/>
          <w:w w:val="80"/>
          <w:sz w:val="44"/>
          <w:szCs w:val="44"/>
        </w:rPr>
        <w:br w:type="page"/>
      </w:r>
    </w:p>
    <w:p>
      <w:pPr>
        <w:pStyle w:val="13"/>
        <w:tabs>
          <w:tab w:val="left" w:pos="1050"/>
          <w:tab w:val="right" w:leader="dot" w:pos="9402"/>
        </w:tabs>
        <w:spacing w:line="520" w:lineRule="exact"/>
        <w:ind w:left="0" w:leftChars="0"/>
        <w:jc w:val="center"/>
        <w:outlineLvl w:val="0"/>
        <w:rPr>
          <w:rFonts w:ascii="宋体" w:hAnsi="宋体" w:cs="宋体"/>
          <w:b/>
          <w:iCs/>
          <w:w w:val="80"/>
          <w:sz w:val="44"/>
          <w:szCs w:val="44"/>
        </w:rPr>
      </w:pPr>
      <w:r>
        <w:rPr>
          <w:rFonts w:hint="eastAsia" w:ascii="宋体" w:hAnsi="宋体" w:cs="宋体"/>
          <w:b/>
          <w:iCs/>
          <w:w w:val="80"/>
          <w:sz w:val="44"/>
          <w:szCs w:val="44"/>
        </w:rPr>
        <w:t>第六章   合同授予</w:t>
      </w:r>
    </w:p>
    <w:p>
      <w:pPr>
        <w:spacing w:line="360" w:lineRule="auto"/>
        <w:ind w:firstLine="424" w:firstLineChars="202"/>
        <w:rPr>
          <w:rFonts w:ascii="宋体" w:hAnsi="宋体" w:cs="宋体"/>
          <w:kern w:val="0"/>
          <w:szCs w:val="21"/>
        </w:rPr>
      </w:pPr>
      <w:r>
        <w:rPr>
          <w:rFonts w:hint="eastAsia" w:ascii="宋体" w:hAnsi="宋体" w:cs="宋体"/>
          <w:szCs w:val="21"/>
        </w:rPr>
        <w:t>一、</w:t>
      </w:r>
      <w:r>
        <w:rPr>
          <w:rFonts w:hint="eastAsia" w:ascii="宋体" w:hAnsi="宋体" w:cs="宋体"/>
          <w:kern w:val="0"/>
          <w:szCs w:val="21"/>
        </w:rPr>
        <w:t>成交供应商在《成交通知书》发出30日内须按照磋商文件确定的事项签订合同。</w:t>
      </w:r>
      <w:r>
        <w:rPr>
          <w:rFonts w:hint="eastAsia" w:ascii="宋体" w:hAnsi="宋体" w:cs="宋体"/>
          <w:szCs w:val="21"/>
        </w:rPr>
        <w:t>合同一式肆份，采购人、供应商各贰份</w:t>
      </w:r>
      <w:r>
        <w:rPr>
          <w:rFonts w:hint="eastAsia" w:ascii="宋体" w:hAnsi="宋体" w:cs="宋体"/>
          <w:kern w:val="0"/>
          <w:szCs w:val="21"/>
        </w:rPr>
        <w:t xml:space="preserve">。所签合同不得对磋商文件作实质性修改。采购单位不得向成交供应商提出不合理的要求作为签订合同的条件，不得与成交供应商私下订立背离磋商文件实质性内容的协议。 </w:t>
      </w:r>
    </w:p>
    <w:p>
      <w:pPr>
        <w:snapToGrid w:val="0"/>
        <w:spacing w:line="360" w:lineRule="auto"/>
        <w:ind w:firstLine="573"/>
        <w:rPr>
          <w:rFonts w:ascii="宋体" w:hAnsi="宋体" w:cs="宋体"/>
          <w:szCs w:val="21"/>
        </w:rPr>
      </w:pPr>
      <w:r>
        <w:rPr>
          <w:rFonts w:hint="eastAsia" w:ascii="宋体" w:hAnsi="宋体" w:cs="宋体"/>
          <w:szCs w:val="21"/>
        </w:rPr>
        <w:t xml:space="preserve"> 二、采购单位按合同约定积极配合中标人履约，中标人履约到位后，请以书面形式向采购单位提出验收申请，采购单位接到申请后原则上在5个工作日内及时组织相关专业人员，必要时邀请政府相关部门共同参与验收，并出具验收报告，验收合格的原则上5个工作日内支付相应款项。</w:t>
      </w:r>
    </w:p>
    <w:p>
      <w:pPr>
        <w:snapToGrid w:val="0"/>
        <w:spacing w:line="360" w:lineRule="auto"/>
        <w:ind w:firstLine="573"/>
        <w:rPr>
          <w:rFonts w:ascii="宋体" w:hAnsi="宋体" w:cs="宋体"/>
          <w:szCs w:val="21"/>
        </w:rPr>
      </w:pPr>
      <w:r>
        <w:rPr>
          <w:rFonts w:hint="eastAsia" w:ascii="宋体" w:hAnsi="宋体" w:cs="宋体"/>
          <w:szCs w:val="21"/>
        </w:rPr>
        <w:t>三、采购单位故意推迟项目验收时间的，与中标人串通或要求中标人通过降低服务标准的，在履行合同中要求中标人出具虚假发票或任意更改销售发票的，谋取不正当利益的，承担相应的法律责任。</w:t>
      </w:r>
    </w:p>
    <w:p>
      <w:pPr>
        <w:snapToGrid w:val="0"/>
        <w:spacing w:line="360" w:lineRule="auto"/>
        <w:ind w:firstLine="573"/>
        <w:rPr>
          <w:rFonts w:ascii="宋体" w:hAnsi="宋体" w:cs="宋体"/>
          <w:szCs w:val="21"/>
        </w:rPr>
      </w:pPr>
      <w:r>
        <w:rPr>
          <w:rFonts w:hint="eastAsia" w:ascii="宋体" w:hAnsi="宋体" w:cs="宋体"/>
          <w:szCs w:val="21"/>
        </w:rPr>
        <w:t>四、中标人出现违约情形，应当及时纠正或补偿；造成损失的，按合同约定追究违约责任；发现有违法情形的，应由采购单位移交工商、质监、公安等行政执法部门依法查处。</w:t>
      </w:r>
    </w:p>
    <w:p>
      <w:pPr>
        <w:snapToGrid w:val="0"/>
        <w:spacing w:line="360" w:lineRule="auto"/>
        <w:ind w:firstLine="573"/>
        <w:rPr>
          <w:rFonts w:ascii="宋体" w:hAnsi="宋体" w:cs="宋体"/>
          <w:szCs w:val="21"/>
        </w:rPr>
      </w:pPr>
      <w:r>
        <w:rPr>
          <w:rFonts w:hint="eastAsia" w:ascii="宋体" w:hAnsi="宋体" w:cs="宋体"/>
          <w:szCs w:val="21"/>
        </w:rPr>
        <w:t>五、按政府采购合同约定支付的合同款。</w:t>
      </w:r>
    </w:p>
    <w:p>
      <w:pPr>
        <w:snapToGrid w:val="0"/>
        <w:spacing w:line="360" w:lineRule="auto"/>
        <w:ind w:firstLine="573"/>
        <w:rPr>
          <w:rFonts w:ascii="宋体" w:hAnsi="宋体" w:cs="宋体"/>
          <w:szCs w:val="21"/>
        </w:rPr>
      </w:pPr>
      <w:r>
        <w:rPr>
          <w:rFonts w:hint="eastAsia" w:ascii="宋体" w:hAnsi="宋体" w:cs="宋体"/>
          <w:szCs w:val="21"/>
        </w:rPr>
        <w:t>六、不响应付款方式的，视同响应文件无效，按无效响应文件处理。</w:t>
      </w:r>
    </w:p>
    <w:p>
      <w:pPr>
        <w:snapToGrid w:val="0"/>
        <w:spacing w:line="360" w:lineRule="auto"/>
        <w:ind w:firstLine="573"/>
        <w:rPr>
          <w:rFonts w:ascii="宋体" w:hAnsi="宋体" w:cs="宋体"/>
          <w:szCs w:val="21"/>
        </w:rPr>
      </w:pPr>
      <w:r>
        <w:rPr>
          <w:rFonts w:hint="eastAsia" w:ascii="宋体" w:hAnsi="宋体" w:cs="宋体"/>
          <w:szCs w:val="21"/>
        </w:rPr>
        <w:t>七、付款方式详见磋商文件第三章。</w:t>
      </w:r>
    </w:p>
    <w:p>
      <w:pPr>
        <w:snapToGrid w:val="0"/>
        <w:spacing w:line="360" w:lineRule="auto"/>
        <w:ind w:firstLine="573"/>
        <w:rPr>
          <w:rFonts w:ascii="宋体" w:hAnsi="宋体" w:cs="宋体"/>
          <w:szCs w:val="21"/>
        </w:rPr>
      </w:pPr>
      <w:r>
        <w:rPr>
          <w:rFonts w:hint="eastAsia" w:ascii="宋体" w:hAnsi="宋体" w:cs="宋体"/>
          <w:szCs w:val="21"/>
        </w:rPr>
        <w:t>八、以上项目款的支付不计息。</w:t>
      </w: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sz w:val="28"/>
          <w:szCs w:val="28"/>
        </w:rPr>
      </w:pPr>
      <w:r>
        <w:rPr>
          <w:rFonts w:ascii="宋体" w:hAnsi="宋体"/>
          <w:b/>
          <w:w w:val="80"/>
          <w:kern w:val="44"/>
          <w:sz w:val="44"/>
          <w:szCs w:val="44"/>
        </w:rPr>
        <w:br w:type="page"/>
      </w:r>
      <w:r>
        <w:rPr>
          <w:rFonts w:ascii="宋体" w:hAnsi="宋体"/>
          <w:b/>
          <w:w w:val="80"/>
          <w:kern w:val="44"/>
          <w:sz w:val="44"/>
          <w:szCs w:val="44"/>
        </w:rPr>
        <w:t>第</w:t>
      </w:r>
      <w:r>
        <w:rPr>
          <w:rFonts w:hint="eastAsia" w:ascii="宋体" w:hAnsi="宋体"/>
          <w:b/>
          <w:w w:val="80"/>
          <w:kern w:val="44"/>
          <w:sz w:val="44"/>
          <w:szCs w:val="44"/>
        </w:rPr>
        <w:t>七</w:t>
      </w:r>
      <w:r>
        <w:rPr>
          <w:rFonts w:ascii="宋体" w:hAnsi="宋体"/>
          <w:b/>
          <w:w w:val="80"/>
          <w:kern w:val="44"/>
          <w:sz w:val="44"/>
          <w:szCs w:val="44"/>
        </w:rPr>
        <w:t xml:space="preserve">章 </w:t>
      </w:r>
      <w:r>
        <w:rPr>
          <w:rFonts w:hint="eastAsia" w:ascii="宋体" w:hAnsi="宋体"/>
          <w:b/>
          <w:w w:val="80"/>
          <w:kern w:val="44"/>
          <w:sz w:val="44"/>
          <w:szCs w:val="44"/>
        </w:rPr>
        <w:t xml:space="preserve"> 质疑提出和处理</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格式请在南通政府采购网“下载中心--有关质疑资料”下载</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一、质疑的提出</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1、质疑人必须是直接参加本次磋商活动的当事人。</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对不能提供相关佐证材料的、涉及商业秘密的、非书面形式的、非送达的、匿名的《质疑函》将不予受理。</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相关佐证材料要具备客观性、关联性、合法性，无法查实的（如宣传册、媒体报道、猜测、推理等）不能作为佐证材料。</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采购单位或采购代理机构不负责搜集相关佐证材料等工作。</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二、《质疑函》的受理和回复</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1、《质疑函》须由质疑人的法定代表人或参加本次磋商被授权人送达采购单位和采购代理机构。</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4、采购单位、采购代理机构负责将质疑人提出的质疑相关材料提供给相关专家或评审小组审核，并将审核意见回复质疑人。</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5、因质疑情况复杂，组织论证或审查时间较长的，采购单位、采购代理机构以书面形式通知质疑人，可适当延长质疑回复处理时间。</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三、质疑处理</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1、质疑成立的处理。采购单位或采购代理机构终止采购，并建议有关部门给相关当事人予以处理。</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2、质疑不成立的处理。</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1）质疑人书面《申请撤回质疑函》的，不作违约处理。</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2）质疑人在规定的时间内不配合进行质疑调查处理的，按自动撤回《质疑函》处理。</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3）质疑人不按《质疑函》格式就提出质疑的，作违约处理。同时，视情列入不良供应商名单。</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相关媒体予以披露。</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7）质疑人承担使用虚假材料或恶意方式质疑的法律责任。</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四、无佐证材料的举报作违约处理。供应商不得进行不提供相关佐证材料（含无法查实的如宣传册、媒体报道、猜测、推理等）向有关部门的举报，否则作违约处理。</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五、投诉不成立的作违约处理。供应商进行质疑后，采购单位回复质疑不成立，供应商仍进行投诉的，并最终投诉不成立的，作违约处理。</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六、《质疑函》《质疑回复函》，质疑、举报、投诉不成立的等相关情况，视情在南通政府采购网、省、国家级等相关媒体予以披露。并建议相关政府采购机构对该供应商同步实施1至3年内禁入。</w:t>
      </w:r>
    </w:p>
    <w:p>
      <w:pPr>
        <w:adjustRightInd w:val="0"/>
        <w:snapToGrid w:val="0"/>
        <w:spacing w:line="480" w:lineRule="exact"/>
        <w:ind w:firstLine="420" w:firstLineChars="200"/>
        <w:rPr>
          <w:rFonts w:ascii="宋体" w:hAnsi="宋体" w:cs="宋体"/>
          <w:szCs w:val="21"/>
        </w:rPr>
      </w:pPr>
      <w:r>
        <w:rPr>
          <w:rFonts w:hint="eastAsia" w:ascii="宋体" w:hAnsi="宋体" w:cs="宋体"/>
          <w:szCs w:val="21"/>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20" w:firstLineChars="200"/>
        <w:rPr>
          <w:rFonts w:ascii="宋体" w:hAnsi="宋体"/>
          <w:bCs/>
          <w:szCs w:val="21"/>
        </w:rPr>
      </w:pPr>
    </w:p>
    <w:p>
      <w:pPr>
        <w:pStyle w:val="5"/>
        <w:keepNext w:val="0"/>
        <w:keepLines w:val="0"/>
        <w:numPr>
          <w:ilvl w:val="0"/>
          <w:numId w:val="6"/>
        </w:numPr>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 xml:space="preserve"> 响应文件组成及格式</w:t>
      </w:r>
    </w:p>
    <w:p/>
    <w:p>
      <w:pPr>
        <w:adjustRightInd w:val="0"/>
        <w:snapToGrid w:val="0"/>
        <w:spacing w:line="360" w:lineRule="auto"/>
        <w:ind w:firstLine="422" w:firstLineChars="200"/>
        <w:jc w:val="left"/>
        <w:rPr>
          <w:rFonts w:ascii="宋体" w:hAnsi="宋体" w:cs="宋体"/>
          <w:b/>
          <w:bCs/>
          <w:szCs w:val="21"/>
        </w:rPr>
      </w:pPr>
      <w:r>
        <w:rPr>
          <w:rFonts w:hint="eastAsia" w:ascii="宋体" w:hAnsi="宋体" w:cs="宋体"/>
          <w:b/>
          <w:bCs/>
          <w:szCs w:val="21"/>
        </w:rPr>
        <w:t xml:space="preserve">响应文件由资格审查文件、技术响应文件、商务报价响应文件三部分组成。本次竞争性磋商采用资格后审方式，供应商须将资格审查文件作为响应文件组成部分，按磋商文件要求装订密封后一起递交。 </w:t>
      </w:r>
    </w:p>
    <w:p>
      <w:pPr>
        <w:adjustRightInd w:val="0"/>
        <w:snapToGrid w:val="0"/>
        <w:spacing w:line="360" w:lineRule="auto"/>
        <w:ind w:firstLine="426" w:firstLineChars="202"/>
        <w:jc w:val="left"/>
        <w:outlineLvl w:val="1"/>
        <w:rPr>
          <w:rFonts w:ascii="宋体" w:hAnsi="宋体" w:cs="宋体"/>
          <w:b/>
          <w:bCs/>
          <w:szCs w:val="21"/>
        </w:rPr>
      </w:pPr>
      <w:r>
        <w:rPr>
          <w:rFonts w:hint="eastAsia" w:ascii="宋体" w:hAnsi="宋体" w:cs="宋体"/>
          <w:b/>
          <w:bCs/>
          <w:szCs w:val="21"/>
        </w:rPr>
        <w:t>一、资格审查文件（单独密封）：</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1、投标供应商必须具有独立的法人资格，提供有效的营业执照及税务登记证（或者是三证合一的营业执照），有能力提供本次采购项目所要求的服务。</w:t>
      </w:r>
    </w:p>
    <w:p>
      <w:pPr>
        <w:widowControl/>
        <w:snapToGrid w:val="0"/>
        <w:spacing w:line="360" w:lineRule="auto"/>
        <w:ind w:firstLine="420" w:firstLineChars="200"/>
        <w:jc w:val="left"/>
        <w:rPr>
          <w:rFonts w:ascii="宋体" w:hAnsi="宋体"/>
          <w:szCs w:val="21"/>
        </w:rPr>
      </w:pPr>
      <w:r>
        <w:rPr>
          <w:rFonts w:hint="eastAsia" w:ascii="宋体" w:hAnsi="宋体" w:cs="宋体"/>
          <w:szCs w:val="21"/>
        </w:rPr>
        <w:t>2、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缴纳2020年</w:t>
      </w:r>
      <w:r>
        <w:rPr>
          <w:rFonts w:hint="eastAsia" w:ascii="宋体" w:hAnsi="宋体" w:cs="宋体"/>
          <w:szCs w:val="21"/>
          <w:lang w:val="en-US" w:eastAsia="zh-CN"/>
        </w:rPr>
        <w:t>4</w:t>
      </w:r>
      <w:r>
        <w:rPr>
          <w:rFonts w:hint="eastAsia" w:ascii="宋体" w:hAnsi="宋体" w:cs="宋体"/>
          <w:szCs w:val="21"/>
        </w:rPr>
        <w:t>月-2020年</w:t>
      </w:r>
      <w:r>
        <w:rPr>
          <w:rFonts w:hint="eastAsia" w:ascii="宋体" w:hAnsi="宋体" w:cs="宋体"/>
          <w:szCs w:val="21"/>
          <w:lang w:val="en-US" w:eastAsia="zh-CN"/>
        </w:rPr>
        <w:t>9</w:t>
      </w:r>
      <w:r>
        <w:rPr>
          <w:rFonts w:hint="eastAsia" w:ascii="宋体" w:hAnsi="宋体" w:cs="宋体"/>
          <w:szCs w:val="21"/>
        </w:rPr>
        <w:t>月连续六个月的养老保险缴费清单复印件】</w:t>
      </w:r>
      <w:r>
        <w:rPr>
          <w:rFonts w:hint="eastAsia" w:ascii="宋体" w:hAnsi="宋体"/>
          <w:szCs w:val="21"/>
        </w:rPr>
        <w:t>。</w:t>
      </w:r>
    </w:p>
    <w:p>
      <w:pPr>
        <w:widowControl/>
        <w:snapToGrid w:val="0"/>
        <w:spacing w:line="360" w:lineRule="auto"/>
        <w:ind w:firstLine="420" w:firstLineChars="200"/>
        <w:jc w:val="left"/>
        <w:rPr>
          <w:rFonts w:ascii="宋体" w:hAnsi="宋体"/>
          <w:szCs w:val="21"/>
        </w:rPr>
      </w:pPr>
      <w:r>
        <w:rPr>
          <w:rFonts w:hint="eastAsia" w:ascii="宋体" w:hAnsi="宋体" w:cs="宋体"/>
          <w:szCs w:val="21"/>
        </w:rPr>
        <w:t>3、</w:t>
      </w:r>
      <w:r>
        <w:rPr>
          <w:rFonts w:hint="eastAsia" w:ascii="宋体" w:hAnsi="宋体"/>
          <w:szCs w:val="21"/>
        </w:rPr>
        <w:t>投标供应商若为外地公司，须承诺中标后在南通市范围内设立全资分支机构或者委托注册在南通市范围内的具有同等资质的代维公司售后服务，代维公司营业执照应具有本次采购项目的生产或经营范围，有能力提供本次采购所要求的服务（提供承诺函，格式自拟）。</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4、投标供应商须提供参与本次项目政府采购活动前三年内，在经营活动中没有重大违法记录的书面《无重大违法记录声明函》（格式参见第八章）。</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5、</w:t>
      </w:r>
      <w:r>
        <w:rPr>
          <w:rFonts w:hint="eastAsia" w:ascii="宋体" w:hAnsi="宋体" w:cs="宋体"/>
          <w:szCs w:val="21"/>
          <w:lang w:val="zh-CN"/>
        </w:rPr>
        <w:t>关于资格文件的声明函</w:t>
      </w:r>
      <w:r>
        <w:rPr>
          <w:rFonts w:hint="eastAsia" w:ascii="宋体" w:hAnsi="宋体" w:cs="宋体"/>
          <w:szCs w:val="21"/>
        </w:rPr>
        <w:t>（格式参见第八章）。</w:t>
      </w:r>
    </w:p>
    <w:p>
      <w:pPr>
        <w:adjustRightInd w:val="0"/>
        <w:snapToGrid w:val="0"/>
        <w:spacing w:line="360" w:lineRule="auto"/>
        <w:ind w:firstLine="422" w:firstLineChars="200"/>
        <w:jc w:val="left"/>
        <w:rPr>
          <w:rFonts w:ascii="宋体" w:hAnsi="宋体"/>
          <w:b/>
          <w:szCs w:val="21"/>
        </w:rPr>
      </w:pPr>
      <w:r>
        <w:rPr>
          <w:rFonts w:hint="eastAsia" w:ascii="宋体" w:hAnsi="宋体"/>
          <w:b/>
          <w:szCs w:val="21"/>
        </w:rPr>
        <w:t>以上材料如为复印件均需加盖投标单位公章。</w:t>
      </w:r>
    </w:p>
    <w:p>
      <w:pPr>
        <w:spacing w:line="360" w:lineRule="auto"/>
        <w:ind w:firstLine="422" w:firstLineChars="200"/>
        <w:rPr>
          <w:rFonts w:ascii="宋体" w:hAnsi="宋体"/>
          <w:b/>
          <w:bCs/>
          <w:szCs w:val="21"/>
        </w:rPr>
      </w:pPr>
      <w:r>
        <w:rPr>
          <w:rFonts w:hint="eastAsia" w:ascii="宋体" w:hAnsi="宋体"/>
          <w:b/>
          <w:bCs/>
          <w:szCs w:val="21"/>
        </w:rPr>
        <w:t>二、技术响应文件（单独密封）：</w:t>
      </w:r>
    </w:p>
    <w:p>
      <w:pPr>
        <w:adjustRightInd w:val="0"/>
        <w:snapToGrid w:val="0"/>
        <w:spacing w:line="360" w:lineRule="auto"/>
        <w:ind w:firstLine="424" w:firstLineChars="202"/>
        <w:jc w:val="left"/>
        <w:rPr>
          <w:rFonts w:ascii="宋体" w:hAnsi="宋体" w:cs="宋体"/>
          <w:bCs/>
          <w:szCs w:val="21"/>
        </w:rPr>
      </w:pPr>
      <w:r>
        <w:rPr>
          <w:rFonts w:ascii="宋体" w:hAnsi="宋体" w:cs="宋体"/>
          <w:bCs/>
          <w:szCs w:val="21"/>
        </w:rPr>
        <w:t>1</w:t>
      </w:r>
      <w:r>
        <w:rPr>
          <w:rFonts w:hint="eastAsia" w:ascii="宋体" w:hAnsi="宋体" w:cs="宋体"/>
          <w:bCs/>
          <w:szCs w:val="21"/>
        </w:rPr>
        <w:t>、磋商文件评分标准中所涉及的事项需提供的所有资料；</w:t>
      </w:r>
    </w:p>
    <w:p>
      <w:pPr>
        <w:adjustRightInd w:val="0"/>
        <w:snapToGrid w:val="0"/>
        <w:spacing w:line="360" w:lineRule="auto"/>
        <w:ind w:firstLine="424" w:firstLineChars="202"/>
        <w:jc w:val="left"/>
        <w:rPr>
          <w:rFonts w:ascii="宋体" w:hAnsi="宋体" w:cs="宋体"/>
          <w:bCs/>
          <w:szCs w:val="21"/>
        </w:rPr>
      </w:pPr>
      <w:r>
        <w:rPr>
          <w:rFonts w:hint="eastAsia" w:ascii="宋体" w:hAnsi="宋体" w:cs="宋体"/>
          <w:bCs/>
          <w:szCs w:val="21"/>
        </w:rPr>
        <w:t>2、技术条款响应一览表</w:t>
      </w:r>
      <w:r>
        <w:rPr>
          <w:rFonts w:hint="eastAsia" w:ascii="宋体" w:hAnsi="宋体" w:cs="宋体"/>
          <w:szCs w:val="21"/>
        </w:rPr>
        <w:t>（格式参见第八章）</w:t>
      </w:r>
      <w:r>
        <w:rPr>
          <w:rFonts w:hint="eastAsia" w:ascii="宋体" w:hAnsi="宋体" w:cs="宋体"/>
          <w:bCs/>
          <w:szCs w:val="21"/>
        </w:rPr>
        <w:t>；</w:t>
      </w:r>
    </w:p>
    <w:p>
      <w:pPr>
        <w:snapToGrid w:val="0"/>
        <w:spacing w:line="360" w:lineRule="auto"/>
        <w:ind w:firstLine="420" w:firstLineChars="200"/>
        <w:rPr>
          <w:rFonts w:ascii="宋体" w:hAnsi="宋体"/>
          <w:b/>
          <w:szCs w:val="21"/>
        </w:rPr>
      </w:pPr>
      <w:r>
        <w:rPr>
          <w:rFonts w:hint="eastAsia" w:ascii="宋体" w:hAnsi="宋体" w:cs="宋体"/>
          <w:bCs/>
          <w:szCs w:val="21"/>
        </w:rPr>
        <w:t>3、磋商文件中未涉及的事项，投标供应商认为需要提交的其他资料。</w:t>
      </w:r>
    </w:p>
    <w:p>
      <w:pPr>
        <w:adjustRightInd w:val="0"/>
        <w:snapToGrid w:val="0"/>
        <w:spacing w:line="360" w:lineRule="auto"/>
        <w:ind w:firstLine="422" w:firstLineChars="200"/>
        <w:jc w:val="left"/>
        <w:rPr>
          <w:rFonts w:ascii="宋体" w:hAnsi="宋体" w:cs="宋体"/>
          <w:b/>
          <w:bCs/>
          <w:color w:val="FF0000"/>
          <w:szCs w:val="21"/>
        </w:rPr>
      </w:pPr>
      <w:r>
        <w:rPr>
          <w:rFonts w:hint="eastAsia" w:ascii="宋体" w:hAnsi="宋体" w:cs="宋体"/>
          <w:b/>
          <w:bCs/>
          <w:color w:val="FF0000"/>
          <w:szCs w:val="21"/>
        </w:rPr>
        <w:t xml:space="preserve">特别提醒：“资格审查文件”“技术响应文件”所须提供的材料按磋商文件要求装订，密封，递交。“资格审查文件”“技术响应文件”涉及的相关原件请带至开标现场备查。未携带原件或因携带原件不全所引起的后果由投标人自行承担。 </w:t>
      </w:r>
    </w:p>
    <w:p>
      <w:pPr>
        <w:adjustRightInd w:val="0"/>
        <w:snapToGrid w:val="0"/>
        <w:spacing w:line="360" w:lineRule="auto"/>
        <w:ind w:firstLine="422" w:firstLineChars="200"/>
        <w:jc w:val="left"/>
        <w:rPr>
          <w:rFonts w:ascii="宋体" w:hAnsi="宋体" w:cs="宋体"/>
          <w:b/>
          <w:bCs/>
          <w:szCs w:val="21"/>
        </w:rPr>
      </w:pPr>
      <w:r>
        <w:rPr>
          <w:rFonts w:hint="eastAsia" w:ascii="宋体" w:hAnsi="宋体" w:cs="宋体"/>
          <w:b/>
          <w:bCs/>
          <w:szCs w:val="21"/>
        </w:rPr>
        <w:t>三、商务报价响应文件（单独密封）</w:t>
      </w:r>
    </w:p>
    <w:p>
      <w:pPr>
        <w:spacing w:line="360" w:lineRule="auto"/>
        <w:ind w:firstLine="420" w:firstLineChars="200"/>
        <w:rPr>
          <w:rFonts w:ascii="宋体" w:hAnsi="宋体" w:cs="宋体"/>
          <w:szCs w:val="21"/>
        </w:rPr>
      </w:pPr>
      <w:r>
        <w:rPr>
          <w:rFonts w:hint="eastAsia" w:ascii="宋体" w:hAnsi="宋体" w:cs="宋体"/>
          <w:szCs w:val="21"/>
        </w:rPr>
        <w:t>1.竞争性磋商响应函（格式参见第八章）；</w:t>
      </w:r>
    </w:p>
    <w:p>
      <w:pPr>
        <w:spacing w:line="360" w:lineRule="auto"/>
        <w:ind w:firstLine="420" w:firstLineChars="200"/>
        <w:rPr>
          <w:rFonts w:ascii="宋体" w:hAnsi="宋体" w:cs="宋体"/>
          <w:szCs w:val="21"/>
        </w:rPr>
      </w:pPr>
      <w:r>
        <w:rPr>
          <w:rFonts w:hint="eastAsia" w:ascii="宋体" w:hAnsi="宋体" w:cs="宋体"/>
          <w:szCs w:val="21"/>
        </w:rPr>
        <w:t>2.磋商响应报价总表（格式参见第八章）；</w:t>
      </w:r>
    </w:p>
    <w:p>
      <w:pPr>
        <w:spacing w:line="360" w:lineRule="auto"/>
        <w:ind w:firstLine="420" w:firstLineChars="200"/>
        <w:rPr>
          <w:rFonts w:ascii="宋体" w:hAnsi="宋体"/>
          <w:b/>
          <w:szCs w:val="21"/>
        </w:rPr>
      </w:pPr>
      <w:r>
        <w:rPr>
          <w:rFonts w:hint="eastAsia" w:ascii="宋体" w:hAnsi="宋体" w:cs="宋体"/>
          <w:szCs w:val="21"/>
        </w:rPr>
        <w:t>3.磋商响应报价明细表（格式参见第八章）。</w:t>
      </w:r>
    </w:p>
    <w:p>
      <w:pPr>
        <w:widowControl/>
        <w:jc w:val="left"/>
        <w:rPr>
          <w:rFonts w:ascii="宋体" w:hAnsi="宋体"/>
          <w:b/>
          <w:bCs/>
          <w:sz w:val="24"/>
          <w:szCs w:val="24"/>
        </w:rPr>
      </w:pPr>
      <w:r>
        <w:rPr>
          <w:rFonts w:hint="eastAsia" w:ascii="宋体" w:hAnsi="宋体"/>
          <w:b/>
          <w:szCs w:val="21"/>
        </w:rPr>
        <w:br w:type="page"/>
      </w:r>
      <w:r>
        <w:rPr>
          <w:rFonts w:hint="eastAsia" w:ascii="宋体" w:hAnsi="宋体"/>
          <w:b/>
          <w:sz w:val="24"/>
          <w:szCs w:val="24"/>
        </w:rPr>
        <w:t>附件:</w:t>
      </w: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520" w:lineRule="exact"/>
        <w:jc w:val="center"/>
        <w:rPr>
          <w:rFonts w:ascii="宋体" w:hAnsi="宋体" w:cs="宋体"/>
          <w:sz w:val="24"/>
          <w:szCs w:val="24"/>
        </w:rPr>
      </w:pPr>
      <w:r>
        <w:rPr>
          <w:rFonts w:hint="eastAsia" w:ascii="宋体" w:hAnsi="宋体" w:cs="宋体"/>
          <w:sz w:val="24"/>
          <w:szCs w:val="24"/>
        </w:rPr>
        <w:t>（法定代表人参加投标，须出示此证明）</w:t>
      </w:r>
    </w:p>
    <w:p>
      <w:pPr>
        <w:snapToGrid w:val="0"/>
        <w:spacing w:line="520" w:lineRule="exact"/>
        <w:jc w:val="center"/>
        <w:rPr>
          <w:rFonts w:ascii="宋体" w:hAnsi="宋体" w:cs="宋体"/>
          <w:sz w:val="24"/>
          <w:szCs w:val="24"/>
        </w:rPr>
      </w:pPr>
    </w:p>
    <w:p>
      <w:pPr>
        <w:snapToGrid w:val="0"/>
        <w:spacing w:line="520" w:lineRule="exact"/>
        <w:rPr>
          <w:rFonts w:ascii="宋体" w:hAnsi="宋体" w:cs="宋体"/>
          <w:sz w:val="24"/>
          <w:szCs w:val="24"/>
        </w:rPr>
      </w:pPr>
      <w:r>
        <w:rPr>
          <w:rFonts w:hint="eastAsia" w:ascii="方正仿宋_GBK"/>
          <w:sz w:val="24"/>
          <w:szCs w:val="24"/>
          <w:u w:val="single"/>
        </w:rPr>
        <w:t>江苏省南通市人民检察院</w:t>
      </w:r>
      <w:r>
        <w:rPr>
          <w:rFonts w:hint="eastAsia" w:ascii="宋体" w:hAnsi="宋体" w:cs="宋体"/>
          <w:sz w:val="24"/>
          <w:szCs w:val="24"/>
        </w:rPr>
        <w:t>：</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（竞争性磋商项目名称)项目的磋商活动，全权代表我公司处理该磋商活动的有关事宜。</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附：法定代表人情况：</w:t>
      </w:r>
    </w:p>
    <w:p>
      <w:pPr>
        <w:snapToGrid w:val="0"/>
        <w:spacing w:line="520" w:lineRule="exact"/>
        <w:rPr>
          <w:rFonts w:ascii="宋体" w:hAnsi="宋体" w:cs="宋体"/>
          <w:sz w:val="24"/>
          <w:szCs w:val="24"/>
          <w:u w:val="single"/>
        </w:rPr>
      </w:pPr>
      <w:r>
        <w:rPr>
          <w:rFonts w:hint="eastAsia" w:ascii="宋体" w:hAnsi="宋体" w:cs="宋体"/>
          <w:sz w:val="24"/>
          <w:szCs w:val="24"/>
        </w:rPr>
        <w:t>姓名：性别：年龄：职务：</w:t>
      </w:r>
    </w:p>
    <w:p>
      <w:pPr>
        <w:snapToGrid w:val="0"/>
        <w:spacing w:line="520" w:lineRule="exact"/>
        <w:rPr>
          <w:rFonts w:ascii="宋体" w:hAnsi="宋体" w:cs="宋体"/>
          <w:sz w:val="24"/>
          <w:szCs w:val="24"/>
        </w:rPr>
      </w:pPr>
      <w:r>
        <w:rPr>
          <w:rFonts w:hint="eastAsia" w:ascii="宋体" w:hAnsi="宋体" w:cs="宋体"/>
          <w:sz w:val="24"/>
          <w:szCs w:val="24"/>
        </w:rPr>
        <w:t>身份证号码：</w:t>
      </w:r>
    </w:p>
    <w:p>
      <w:pPr>
        <w:snapToGrid w:val="0"/>
        <w:spacing w:line="520" w:lineRule="exact"/>
        <w:rPr>
          <w:rFonts w:ascii="宋体" w:hAnsi="宋体" w:cs="宋体"/>
          <w:sz w:val="24"/>
          <w:szCs w:val="24"/>
        </w:rPr>
      </w:pPr>
      <w:r>
        <w:rPr>
          <w:rFonts w:hint="eastAsia" w:ascii="宋体" w:hAnsi="宋体" w:cs="宋体"/>
          <w:sz w:val="24"/>
          <w:szCs w:val="24"/>
        </w:rPr>
        <w:t>手机：传真：</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ind w:firstLine="2280" w:firstLineChars="950"/>
        <w:rPr>
          <w:rFonts w:ascii="宋体" w:hAnsi="宋体" w:cs="宋体"/>
          <w:sz w:val="24"/>
          <w:szCs w:val="24"/>
        </w:rPr>
      </w:pPr>
      <w:r>
        <w:rPr>
          <w:rFonts w:hint="eastAsia" w:ascii="宋体" w:hAnsi="宋体" w:cs="宋体"/>
          <w:sz w:val="24"/>
          <w:szCs w:val="24"/>
        </w:rPr>
        <w:t>（粘贴此处）</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t>注:参加磋商活动时法定代表人将身份证原件带至开标现场备查。</w:t>
      </w: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2、授权委托书</w:t>
      </w:r>
    </w:p>
    <w:p>
      <w:pPr>
        <w:snapToGrid w:val="0"/>
        <w:spacing w:line="520" w:lineRule="exact"/>
        <w:jc w:val="center"/>
        <w:rPr>
          <w:rFonts w:ascii="宋体" w:hAnsi="宋体" w:cs="宋体"/>
          <w:sz w:val="24"/>
          <w:szCs w:val="24"/>
        </w:rPr>
      </w:pPr>
      <w:r>
        <w:rPr>
          <w:rFonts w:hint="eastAsia" w:ascii="宋体" w:hAnsi="宋体" w:cs="宋体"/>
          <w:sz w:val="24"/>
          <w:szCs w:val="24"/>
        </w:rPr>
        <w:t>（委托代理人参加投标，须出示此证明）</w:t>
      </w:r>
    </w:p>
    <w:p>
      <w:pPr>
        <w:snapToGrid w:val="0"/>
        <w:spacing w:line="520" w:lineRule="exact"/>
        <w:rPr>
          <w:rFonts w:ascii="宋体" w:hAnsi="宋体" w:cs="宋体"/>
          <w:bCs/>
          <w:sz w:val="24"/>
          <w:szCs w:val="24"/>
        </w:rPr>
      </w:pPr>
      <w:r>
        <w:rPr>
          <w:rFonts w:hint="eastAsia" w:ascii="方正仿宋_GBK"/>
          <w:sz w:val="24"/>
          <w:szCs w:val="24"/>
          <w:u w:val="single"/>
        </w:rPr>
        <w:t>江苏省南通市人民检察院</w:t>
      </w:r>
      <w:r>
        <w:rPr>
          <w:rFonts w:hint="eastAsia" w:ascii="宋体" w:hAnsi="宋体" w:cs="宋体"/>
          <w:sz w:val="24"/>
          <w:szCs w:val="24"/>
        </w:rPr>
        <w:t>：</w:t>
      </w:r>
    </w:p>
    <w:p>
      <w:pPr>
        <w:snapToGrid w:val="0"/>
        <w:spacing w:line="520" w:lineRule="exact"/>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w:t>
      </w:r>
      <w:r>
        <w:rPr>
          <w:rFonts w:hint="eastAsia" w:ascii="宋体" w:hAnsi="宋体" w:cs="宋体"/>
          <w:sz w:val="24"/>
          <w:szCs w:val="24"/>
          <w:u w:val="single"/>
        </w:rPr>
        <w:t xml:space="preserve">    　　　  </w:t>
      </w:r>
      <w:r>
        <w:rPr>
          <w:rFonts w:hint="eastAsia" w:ascii="宋体" w:hAnsi="宋体" w:cs="宋体"/>
          <w:sz w:val="24"/>
          <w:szCs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520" w:lineRule="exact"/>
        <w:ind w:left="1" w:firstLine="480" w:firstLineChars="200"/>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附：被授权人情况：</w:t>
      </w:r>
    </w:p>
    <w:p>
      <w:pPr>
        <w:snapToGrid w:val="0"/>
        <w:spacing w:line="520" w:lineRule="exact"/>
        <w:rPr>
          <w:rFonts w:ascii="宋体" w:hAnsi="宋体" w:cs="宋体"/>
          <w:sz w:val="24"/>
          <w:szCs w:val="24"/>
          <w:u w:val="single"/>
        </w:rPr>
      </w:pPr>
      <w:r>
        <w:rPr>
          <w:rFonts w:hint="eastAsia" w:ascii="宋体" w:hAnsi="宋体" w:cs="宋体"/>
          <w:sz w:val="24"/>
          <w:szCs w:val="24"/>
        </w:rPr>
        <w:t>姓名：性别：年龄：职务：</w:t>
      </w:r>
    </w:p>
    <w:p>
      <w:pPr>
        <w:snapToGrid w:val="0"/>
        <w:spacing w:line="520" w:lineRule="exact"/>
        <w:rPr>
          <w:rFonts w:ascii="宋体" w:hAnsi="宋体" w:cs="宋体"/>
          <w:sz w:val="24"/>
          <w:szCs w:val="24"/>
        </w:rPr>
      </w:pPr>
      <w:r>
        <w:rPr>
          <w:rFonts w:hint="eastAsia" w:ascii="宋体" w:hAnsi="宋体" w:cs="宋体"/>
          <w:sz w:val="24"/>
          <w:szCs w:val="24"/>
        </w:rPr>
        <w:t>身份证号码：</w:t>
      </w:r>
    </w:p>
    <w:p>
      <w:pPr>
        <w:snapToGrid w:val="0"/>
        <w:spacing w:line="520" w:lineRule="exact"/>
        <w:rPr>
          <w:rFonts w:ascii="宋体" w:hAnsi="宋体" w:cs="宋体"/>
          <w:sz w:val="24"/>
          <w:szCs w:val="24"/>
        </w:rPr>
      </w:pPr>
      <w:r>
        <w:rPr>
          <w:rFonts w:hint="eastAsia" w:ascii="宋体" w:hAnsi="宋体" w:cs="宋体"/>
          <w:sz w:val="24"/>
          <w:szCs w:val="24"/>
        </w:rPr>
        <w:t>手机：传真：</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被授权人身份证复印件</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jc w:val="center"/>
        <w:rPr>
          <w:rFonts w:ascii="宋体" w:hAnsi="宋体" w:cs="宋体"/>
          <w:sz w:val="24"/>
          <w:szCs w:val="24"/>
        </w:rPr>
      </w:pPr>
    </w:p>
    <w:p>
      <w:pPr>
        <w:snapToGrid w:val="0"/>
        <w:spacing w:line="520" w:lineRule="exact"/>
        <w:jc w:val="center"/>
        <w:rPr>
          <w:rFonts w:ascii="宋体" w:hAnsi="宋体" w:cs="宋体"/>
          <w:b/>
          <w:bCs/>
          <w:sz w:val="24"/>
          <w:szCs w:val="24"/>
        </w:rPr>
      </w:pPr>
      <w:r>
        <w:rPr>
          <w:rFonts w:hint="eastAsia" w:ascii="宋体" w:hAnsi="宋体" w:cs="宋体"/>
          <w:sz w:val="24"/>
          <w:szCs w:val="24"/>
        </w:rPr>
        <w:t>（粘贴此处）</w:t>
      </w:r>
    </w:p>
    <w:p>
      <w:pPr>
        <w:snapToGrid w:val="0"/>
        <w:spacing w:line="520" w:lineRule="exact"/>
        <w:ind w:firstLine="482" w:firstLineChars="200"/>
        <w:jc w:val="center"/>
        <w:rPr>
          <w:rFonts w:ascii="宋体" w:hAnsi="宋体" w:cs="宋体"/>
          <w:b/>
          <w:bCs/>
          <w:sz w:val="24"/>
          <w:szCs w:val="24"/>
        </w:rPr>
      </w:pPr>
      <w:r>
        <w:rPr>
          <w:rFonts w:hint="eastAsia" w:ascii="宋体" w:hAnsi="宋体" w:cs="宋体"/>
          <w:b/>
          <w:bCs/>
          <w:sz w:val="24"/>
          <w:szCs w:val="24"/>
        </w:rPr>
        <w:t>注:参加磋商活动时被授权人将身份证原件带至开标现场备查。</w:t>
      </w:r>
    </w:p>
    <w:p>
      <w:pPr>
        <w:overflowPunct w:val="0"/>
        <w:adjustRightInd w:val="0"/>
        <w:spacing w:line="360" w:lineRule="auto"/>
        <w:jc w:val="center"/>
        <w:textAlignment w:val="baseline"/>
        <w:rPr>
          <w:rFonts w:ascii="宋体" w:hAnsi="宋体" w:cs="宋体"/>
          <w:b/>
          <w:bCs/>
          <w:sz w:val="28"/>
          <w:szCs w:val="28"/>
        </w:rPr>
      </w:pPr>
      <w:r>
        <w:rPr>
          <w:rFonts w:hint="eastAsia" w:ascii="宋体" w:hAnsi="宋体" w:cs="宋体"/>
          <w:b/>
          <w:bCs/>
          <w:sz w:val="24"/>
          <w:szCs w:val="24"/>
        </w:rPr>
        <w:br w:type="page"/>
      </w:r>
      <w:r>
        <w:rPr>
          <w:rFonts w:hint="eastAsia" w:ascii="宋体" w:hAnsi="宋体" w:cs="宋体"/>
          <w:b/>
          <w:bCs/>
          <w:sz w:val="24"/>
          <w:szCs w:val="24"/>
        </w:rPr>
        <w:t>3</w:t>
      </w:r>
      <w:r>
        <w:rPr>
          <w:rFonts w:hint="eastAsia" w:ascii="宋体" w:hAnsi="宋体" w:cs="宋体"/>
          <w:b/>
          <w:bCs/>
          <w:sz w:val="28"/>
          <w:szCs w:val="28"/>
        </w:rPr>
        <w:t>、无重大违法记录声明</w:t>
      </w:r>
    </w:p>
    <w:p>
      <w:pPr>
        <w:spacing w:line="360" w:lineRule="auto"/>
        <w:rPr>
          <w:rFonts w:ascii="宋体" w:hAnsi="宋体" w:cs="宋体"/>
          <w:color w:val="000000"/>
          <w:sz w:val="24"/>
          <w:szCs w:val="24"/>
          <w:u w:val="single"/>
        </w:rPr>
      </w:pPr>
      <w:r>
        <w:rPr>
          <w:rFonts w:hint="eastAsia" w:ascii="宋体" w:hAnsi="宋体" w:cs="宋体"/>
          <w:color w:val="000000"/>
          <w:sz w:val="24"/>
          <w:szCs w:val="24"/>
          <w:u w:val="single"/>
        </w:rPr>
        <w:t>江苏省南通市人民检察院：</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我单位（供应商名称）郑重声明：</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参加政府采购活动前3年内在经营活动中____（在下划线上如实填写：有或没有）重大违法记录。</w:t>
      </w: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声明人：（公章）</w:t>
      </w:r>
    </w:p>
    <w:p>
      <w:pPr>
        <w:spacing w:line="360" w:lineRule="auto"/>
        <w:jc w:val="center"/>
        <w:rPr>
          <w:rFonts w:ascii="宋体" w:hAnsi="宋体" w:cs="宋体"/>
          <w:color w:val="000000"/>
          <w:sz w:val="24"/>
          <w:szCs w:val="24"/>
        </w:rPr>
      </w:pPr>
      <w:r>
        <w:rPr>
          <w:rFonts w:hint="eastAsia" w:ascii="宋体" w:hAnsi="宋体" w:cs="宋体"/>
          <w:color w:val="000000"/>
          <w:sz w:val="24"/>
          <w:szCs w:val="24"/>
        </w:rPr>
        <w:t xml:space="preserve">                                                  年     月    日</w:t>
      </w:r>
    </w:p>
    <w:p>
      <w:pPr>
        <w:snapToGrid w:val="0"/>
        <w:spacing w:line="520" w:lineRule="exact"/>
        <w:jc w:val="center"/>
        <w:outlineLvl w:val="4"/>
        <w:rPr>
          <w:rFonts w:ascii="宋体" w:hAnsi="宋体" w:cs="宋体"/>
          <w:b/>
          <w:bCs/>
          <w:sz w:val="28"/>
          <w:szCs w:val="28"/>
        </w:rPr>
      </w:pPr>
      <w:r>
        <w:rPr>
          <w:rFonts w:hint="eastAsia" w:ascii="宋体" w:hAnsi="宋体" w:cs="宋体"/>
          <w:b/>
          <w:sz w:val="24"/>
          <w:szCs w:val="24"/>
        </w:rPr>
        <w:br w:type="page"/>
      </w:r>
      <w:r>
        <w:rPr>
          <w:rFonts w:hint="eastAsia" w:ascii="宋体" w:hAnsi="宋体" w:cs="宋体"/>
          <w:b/>
          <w:sz w:val="24"/>
          <w:szCs w:val="24"/>
        </w:rPr>
        <w:t>4</w:t>
      </w:r>
      <w:r>
        <w:rPr>
          <w:rFonts w:hint="eastAsia" w:ascii="宋体" w:hAnsi="宋体" w:cs="宋体"/>
          <w:b/>
          <w:bCs/>
          <w:sz w:val="28"/>
          <w:szCs w:val="28"/>
        </w:rPr>
        <w:t>、关于资格文件的声明函</w:t>
      </w:r>
    </w:p>
    <w:p>
      <w:pPr>
        <w:pStyle w:val="9"/>
        <w:overflowPunct w:val="0"/>
        <w:spacing w:line="520" w:lineRule="exact"/>
        <w:jc w:val="center"/>
        <w:rPr>
          <w:rFonts w:ascii="宋体" w:hAnsi="宋体" w:eastAsia="宋体" w:cs="宋体"/>
          <w:sz w:val="28"/>
          <w:szCs w:val="28"/>
        </w:rPr>
      </w:pPr>
    </w:p>
    <w:p>
      <w:pPr>
        <w:pStyle w:val="9"/>
        <w:overflowPunct w:val="0"/>
        <w:spacing w:line="520" w:lineRule="exact"/>
        <w:ind w:firstLine="0"/>
        <w:rPr>
          <w:rFonts w:ascii="宋体" w:hAnsi="宋体" w:eastAsia="宋体" w:cs="宋体"/>
          <w:szCs w:val="24"/>
        </w:rPr>
      </w:pPr>
      <w:r>
        <w:rPr>
          <w:rFonts w:hint="eastAsia" w:ascii="宋体" w:hAnsi="宋体" w:eastAsia="宋体" w:cs="宋体"/>
          <w:szCs w:val="24"/>
          <w:u w:val="single"/>
        </w:rPr>
        <w:t>江苏省南通市人民检察院</w:t>
      </w:r>
      <w:r>
        <w:rPr>
          <w:rFonts w:hint="eastAsia" w:ascii="宋体" w:hAnsi="宋体" w:eastAsia="宋体" w:cs="宋体"/>
          <w:szCs w:val="24"/>
        </w:rPr>
        <w:t>：</w:t>
      </w:r>
    </w:p>
    <w:p>
      <w:pPr>
        <w:pStyle w:val="9"/>
        <w:overflowPunct w:val="0"/>
        <w:spacing w:line="520" w:lineRule="exact"/>
        <w:ind w:firstLine="660"/>
        <w:rPr>
          <w:rFonts w:ascii="宋体" w:hAnsi="宋体" w:eastAsia="宋体" w:cs="宋体"/>
          <w:szCs w:val="24"/>
        </w:rPr>
      </w:pPr>
      <w:r>
        <w:rPr>
          <w:rFonts w:hint="eastAsia" w:ascii="宋体" w:hAnsi="宋体" w:eastAsia="宋体" w:cs="宋体"/>
          <w:szCs w:val="24"/>
        </w:rPr>
        <w:t>本公司愿就由贵单位组织实施的</w:t>
      </w:r>
      <w:r>
        <w:rPr>
          <w:rFonts w:hint="eastAsia" w:ascii="宋体" w:hAnsi="宋体" w:cs="宋体"/>
          <w:szCs w:val="24"/>
          <w:u w:val="single"/>
        </w:rPr>
        <w:t xml:space="preserve">    　　　  </w:t>
      </w:r>
      <w:r>
        <w:rPr>
          <w:rFonts w:hint="eastAsia" w:ascii="宋体" w:hAnsi="宋体" w:eastAsia="宋体" w:cs="宋体"/>
          <w:szCs w:val="24"/>
        </w:rPr>
        <w:t>（招标项目名称)招标活动进行投标。本公司所提交的投标文件中所有关于投标资格的文件、证明和陈述均是真实的、准确的。若与真实情况不符，本公司愿意承担由此而产生的一切后果。</w:t>
      </w:r>
    </w:p>
    <w:p>
      <w:pPr>
        <w:pStyle w:val="9"/>
        <w:overflowPunct w:val="0"/>
        <w:spacing w:line="520" w:lineRule="exact"/>
        <w:rPr>
          <w:rFonts w:ascii="宋体" w:hAnsi="宋体" w:eastAsia="宋体" w:cs="宋体"/>
          <w:szCs w:val="24"/>
        </w:rPr>
      </w:pPr>
    </w:p>
    <w:p>
      <w:pPr>
        <w:pStyle w:val="9"/>
        <w:overflowPunct w:val="0"/>
        <w:spacing w:line="520" w:lineRule="exact"/>
        <w:rPr>
          <w:rFonts w:ascii="宋体" w:hAnsi="宋体" w:eastAsia="宋体" w:cs="宋体"/>
          <w:szCs w:val="24"/>
        </w:rPr>
      </w:pPr>
    </w:p>
    <w:p>
      <w:pPr>
        <w:pStyle w:val="9"/>
        <w:overflowPunct w:val="0"/>
        <w:spacing w:line="520" w:lineRule="exact"/>
        <w:rPr>
          <w:rFonts w:ascii="宋体" w:hAnsi="宋体" w:eastAsia="宋体" w:cs="宋体"/>
          <w:szCs w:val="24"/>
        </w:rPr>
      </w:pPr>
    </w:p>
    <w:p>
      <w:pPr>
        <w:pStyle w:val="9"/>
        <w:overflowPunct w:val="0"/>
        <w:spacing w:line="520" w:lineRule="exact"/>
        <w:rPr>
          <w:rFonts w:ascii="宋体" w:hAnsi="宋体" w:eastAsia="宋体" w:cs="宋体"/>
          <w:szCs w:val="24"/>
        </w:rPr>
      </w:pP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 xml:space="preserve">        （投标供应商）法定代表人（签字或盖章）：</w:t>
      </w:r>
    </w:p>
    <w:p>
      <w:pPr>
        <w:pStyle w:val="9"/>
        <w:overflowPunct w:val="0"/>
        <w:spacing w:line="520" w:lineRule="exact"/>
        <w:ind w:left="1700" w:firstLine="425"/>
        <w:rPr>
          <w:rFonts w:ascii="宋体" w:hAnsi="宋体" w:eastAsia="宋体" w:cs="宋体"/>
          <w:szCs w:val="24"/>
        </w:rPr>
      </w:pPr>
    </w:p>
    <w:p>
      <w:pPr>
        <w:pStyle w:val="9"/>
        <w:overflowPunct w:val="0"/>
        <w:spacing w:line="520" w:lineRule="exact"/>
        <w:ind w:left="1700" w:firstLine="425"/>
        <w:rPr>
          <w:rFonts w:ascii="宋体" w:hAnsi="宋体" w:eastAsia="宋体" w:cs="宋体"/>
          <w:szCs w:val="24"/>
        </w:rPr>
      </w:pPr>
      <w:r>
        <w:rPr>
          <w:rFonts w:hint="eastAsia" w:ascii="宋体" w:hAnsi="宋体" w:eastAsia="宋体" w:cs="宋体"/>
          <w:szCs w:val="24"/>
        </w:rPr>
        <w:t xml:space="preserve">        （投标供应商）公章：</w:t>
      </w:r>
    </w:p>
    <w:p>
      <w:pPr>
        <w:pStyle w:val="9"/>
        <w:overflowPunct w:val="0"/>
        <w:spacing w:line="520" w:lineRule="exact"/>
        <w:ind w:right="560"/>
        <w:rPr>
          <w:rFonts w:ascii="宋体" w:hAnsi="宋体" w:eastAsia="宋体" w:cs="宋体"/>
          <w:szCs w:val="24"/>
        </w:rPr>
      </w:pPr>
    </w:p>
    <w:p>
      <w:pPr>
        <w:pStyle w:val="9"/>
        <w:overflowPunct w:val="0"/>
        <w:spacing w:line="520" w:lineRule="exact"/>
        <w:ind w:right="560" w:firstLine="4320" w:firstLineChars="1800"/>
        <w:rPr>
          <w:rFonts w:ascii="宋体" w:hAnsi="宋体" w:eastAsia="宋体" w:cs="宋体"/>
          <w:szCs w:val="24"/>
        </w:rPr>
      </w:pPr>
      <w:r>
        <w:rPr>
          <w:rFonts w:hint="eastAsia" w:ascii="宋体" w:hAnsi="宋体" w:eastAsia="宋体" w:cs="宋体"/>
          <w:szCs w:val="24"/>
        </w:rPr>
        <w:t xml:space="preserve"> 年</w:t>
      </w:r>
      <w:r>
        <w:rPr>
          <w:rFonts w:hint="eastAsia" w:ascii="宋体" w:hAnsi="宋体" w:eastAsia="宋体" w:cs="宋体"/>
          <w:szCs w:val="24"/>
        </w:rPr>
        <w:tab/>
      </w:r>
      <w:r>
        <w:rPr>
          <w:rFonts w:hint="eastAsia" w:ascii="宋体" w:hAnsi="宋体" w:eastAsia="宋体" w:cs="宋体"/>
          <w:szCs w:val="24"/>
        </w:rPr>
        <w:t xml:space="preserve"> 月 </w:t>
      </w:r>
      <w:r>
        <w:rPr>
          <w:rFonts w:hint="eastAsia" w:ascii="宋体" w:hAnsi="宋体" w:eastAsia="宋体" w:cs="宋体"/>
          <w:szCs w:val="24"/>
        </w:rPr>
        <w:tab/>
      </w:r>
      <w:r>
        <w:rPr>
          <w:rFonts w:hint="eastAsia" w:ascii="宋体" w:hAnsi="宋体" w:eastAsia="宋体" w:cs="宋体"/>
          <w:szCs w:val="24"/>
        </w:rPr>
        <w:t>日</w:t>
      </w:r>
    </w:p>
    <w:p>
      <w:pPr>
        <w:pStyle w:val="9"/>
        <w:overflowPunct w:val="0"/>
        <w:spacing w:line="520" w:lineRule="exact"/>
        <w:ind w:right="560" w:firstLine="4320" w:firstLineChars="1800"/>
        <w:rPr>
          <w:rFonts w:ascii="宋体" w:hAnsi="宋体" w:eastAsia="宋体" w:cs="宋体"/>
          <w:szCs w:val="24"/>
        </w:rPr>
      </w:pPr>
      <w:r>
        <w:rPr>
          <w:rFonts w:hint="eastAsia" w:ascii="宋体" w:hAnsi="宋体" w:eastAsia="宋体" w:cs="宋体"/>
          <w:szCs w:val="24"/>
        </w:rPr>
        <w:br w:type="page"/>
      </w:r>
    </w:p>
    <w:p>
      <w:pPr>
        <w:snapToGrid w:val="0"/>
        <w:spacing w:line="520" w:lineRule="exact"/>
        <w:ind w:firstLine="562" w:firstLineChars="200"/>
        <w:jc w:val="center"/>
        <w:rPr>
          <w:rFonts w:ascii="宋体" w:hAnsi="宋体" w:cs="宋体"/>
          <w:b/>
          <w:bCs/>
          <w:sz w:val="28"/>
          <w:szCs w:val="28"/>
        </w:rPr>
      </w:pPr>
      <w:r>
        <w:rPr>
          <w:rFonts w:hint="eastAsia" w:ascii="宋体" w:hAnsi="宋体" w:cs="宋体"/>
          <w:b/>
          <w:bCs/>
          <w:sz w:val="28"/>
          <w:szCs w:val="28"/>
        </w:rPr>
        <w:t>5、技术条款响应一览表</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供应商应响应磋商文件中针对本项目提出的相关要求；如其所投产品或服务与其中某些条款不完全响应时，应在表格中逐条列出，未列出的视同完全响应。</w:t>
      </w:r>
    </w:p>
    <w:tbl>
      <w:tblPr>
        <w:tblStyle w:val="20"/>
        <w:tblW w:w="931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91"/>
        <w:gridCol w:w="2471"/>
        <w:gridCol w:w="1821"/>
        <w:gridCol w:w="1821"/>
        <w:gridCol w:w="21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091" w:type="dxa"/>
          </w:tcPr>
          <w:p>
            <w:pPr>
              <w:spacing w:line="360" w:lineRule="exact"/>
              <w:rPr>
                <w:rFonts w:ascii="宋体" w:hAnsi="宋体" w:cs="宋体"/>
                <w:b/>
                <w:sz w:val="24"/>
                <w:szCs w:val="24"/>
              </w:rPr>
            </w:pPr>
            <w:r>
              <w:rPr>
                <w:rFonts w:hint="eastAsia" w:ascii="宋体" w:hAnsi="宋体" w:cs="宋体"/>
                <w:b/>
                <w:sz w:val="24"/>
                <w:szCs w:val="24"/>
              </w:rPr>
              <w:t>序号</w:t>
            </w:r>
          </w:p>
        </w:tc>
        <w:tc>
          <w:tcPr>
            <w:tcW w:w="2471" w:type="dxa"/>
          </w:tcPr>
          <w:p>
            <w:pPr>
              <w:spacing w:line="360" w:lineRule="exact"/>
              <w:jc w:val="center"/>
              <w:rPr>
                <w:rFonts w:ascii="宋体" w:hAnsi="宋体" w:cs="宋体"/>
                <w:b/>
                <w:sz w:val="24"/>
                <w:szCs w:val="24"/>
              </w:rPr>
            </w:pPr>
            <w:r>
              <w:rPr>
                <w:rFonts w:hint="eastAsia" w:ascii="宋体" w:hAnsi="宋体" w:cs="宋体"/>
                <w:b/>
                <w:sz w:val="24"/>
                <w:szCs w:val="24"/>
              </w:rPr>
              <w:t>项目需求</w:t>
            </w:r>
          </w:p>
        </w:tc>
        <w:tc>
          <w:tcPr>
            <w:tcW w:w="1821" w:type="dxa"/>
            <w:vAlign w:val="center"/>
          </w:tcPr>
          <w:p>
            <w:pPr>
              <w:jc w:val="center"/>
              <w:rPr>
                <w:rFonts w:ascii="宋体" w:hAnsi="宋体" w:cs="宋体"/>
                <w:b/>
                <w:bCs/>
                <w:sz w:val="24"/>
                <w:szCs w:val="24"/>
              </w:rPr>
            </w:pPr>
            <w:r>
              <w:rPr>
                <w:rFonts w:hint="eastAsia" w:ascii="宋体" w:hAnsi="宋体" w:cs="宋体"/>
                <w:b/>
                <w:bCs/>
                <w:sz w:val="24"/>
                <w:szCs w:val="24"/>
              </w:rPr>
              <w:t>投标响应</w:t>
            </w:r>
          </w:p>
        </w:tc>
        <w:tc>
          <w:tcPr>
            <w:tcW w:w="1821" w:type="dxa"/>
            <w:vAlign w:val="center"/>
          </w:tcPr>
          <w:p>
            <w:pPr>
              <w:jc w:val="center"/>
              <w:rPr>
                <w:rFonts w:ascii="宋体"/>
                <w:b/>
                <w:sz w:val="24"/>
                <w:szCs w:val="24"/>
              </w:rPr>
            </w:pPr>
            <w:r>
              <w:rPr>
                <w:rFonts w:hint="eastAsia" w:ascii="宋体" w:hAnsi="宋体" w:cs="宋体"/>
                <w:b/>
                <w:bCs/>
                <w:sz w:val="24"/>
                <w:szCs w:val="24"/>
              </w:rPr>
              <w:t>偏离</w:t>
            </w:r>
            <w:r>
              <w:rPr>
                <w:rFonts w:ascii="宋体" w:hAnsi="宋体" w:cs="宋体"/>
                <w:b/>
                <w:bCs/>
                <w:sz w:val="24"/>
                <w:szCs w:val="24"/>
              </w:rPr>
              <w:t>/</w:t>
            </w:r>
            <w:r>
              <w:rPr>
                <w:rFonts w:hint="eastAsia" w:ascii="宋体" w:hAnsi="宋体" w:cs="宋体"/>
                <w:b/>
                <w:bCs/>
                <w:sz w:val="24"/>
                <w:szCs w:val="24"/>
              </w:rPr>
              <w:t>响应</w:t>
            </w:r>
          </w:p>
        </w:tc>
        <w:tc>
          <w:tcPr>
            <w:tcW w:w="2109" w:type="dxa"/>
            <w:vAlign w:val="center"/>
          </w:tcPr>
          <w:p>
            <w:pPr>
              <w:jc w:val="center"/>
              <w:rPr>
                <w:rFonts w:ascii="宋体"/>
                <w:b/>
                <w:sz w:val="24"/>
                <w:szCs w:val="24"/>
              </w:rPr>
            </w:pPr>
            <w:r>
              <w:rPr>
                <w:rFonts w:hint="eastAsia" w:ascii="宋体" w:hAnsi="宋体" w:cs="宋体"/>
                <w:b/>
                <w:bCs/>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091" w:type="dxa"/>
          </w:tcPr>
          <w:p>
            <w:pPr>
              <w:spacing w:line="360" w:lineRule="exact"/>
              <w:rPr>
                <w:rFonts w:ascii="宋体" w:hAnsi="宋体" w:cs="宋体"/>
                <w:b/>
                <w:sz w:val="24"/>
                <w:szCs w:val="24"/>
              </w:rPr>
            </w:pPr>
          </w:p>
        </w:tc>
        <w:tc>
          <w:tcPr>
            <w:tcW w:w="2471" w:type="dxa"/>
          </w:tcPr>
          <w:p>
            <w:pPr>
              <w:spacing w:line="360" w:lineRule="exact"/>
              <w:rPr>
                <w:rFonts w:ascii="宋体" w:hAnsi="宋体" w:cs="宋体"/>
                <w:b/>
                <w:sz w:val="24"/>
                <w:szCs w:val="24"/>
              </w:rPr>
            </w:pPr>
          </w:p>
        </w:tc>
        <w:tc>
          <w:tcPr>
            <w:tcW w:w="1821" w:type="dxa"/>
          </w:tcPr>
          <w:p>
            <w:pPr>
              <w:spacing w:line="360" w:lineRule="exact"/>
              <w:rPr>
                <w:rFonts w:ascii="宋体" w:hAnsi="宋体" w:cs="宋体"/>
                <w:b/>
                <w:sz w:val="24"/>
                <w:szCs w:val="24"/>
              </w:rPr>
            </w:pPr>
          </w:p>
        </w:tc>
        <w:tc>
          <w:tcPr>
            <w:tcW w:w="1821" w:type="dxa"/>
          </w:tcPr>
          <w:p>
            <w:pPr>
              <w:spacing w:line="360" w:lineRule="exact"/>
              <w:rPr>
                <w:rFonts w:ascii="宋体" w:hAnsi="宋体" w:cs="宋体"/>
                <w:b/>
                <w:sz w:val="24"/>
                <w:szCs w:val="24"/>
              </w:rPr>
            </w:pPr>
          </w:p>
        </w:tc>
        <w:tc>
          <w:tcPr>
            <w:tcW w:w="2109" w:type="dxa"/>
          </w:tcPr>
          <w:p>
            <w:pPr>
              <w:spacing w:line="360" w:lineRule="exact"/>
              <w:rPr>
                <w:rFonts w:ascii="宋体" w:hAnsi="宋体" w:cs="宋体"/>
                <w:b/>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1091" w:type="dxa"/>
          </w:tcPr>
          <w:p>
            <w:pPr>
              <w:spacing w:line="360" w:lineRule="exact"/>
              <w:rPr>
                <w:rFonts w:ascii="宋体" w:hAnsi="宋体" w:cs="宋体"/>
                <w:b/>
                <w:sz w:val="24"/>
                <w:szCs w:val="24"/>
              </w:rPr>
            </w:pPr>
            <w:r>
              <w:rPr>
                <w:rFonts w:hint="eastAsia" w:ascii="宋体" w:hAnsi="宋体" w:cs="宋体"/>
                <w:sz w:val="24"/>
                <w:szCs w:val="24"/>
              </w:rPr>
              <w:t>……</w:t>
            </w:r>
          </w:p>
        </w:tc>
        <w:tc>
          <w:tcPr>
            <w:tcW w:w="2471" w:type="dxa"/>
          </w:tcPr>
          <w:p>
            <w:pPr>
              <w:spacing w:line="360" w:lineRule="exact"/>
              <w:rPr>
                <w:rFonts w:ascii="宋体" w:hAnsi="宋体" w:cs="宋体"/>
                <w:b/>
                <w:sz w:val="24"/>
                <w:szCs w:val="24"/>
              </w:rPr>
            </w:pPr>
          </w:p>
        </w:tc>
        <w:tc>
          <w:tcPr>
            <w:tcW w:w="1821" w:type="dxa"/>
          </w:tcPr>
          <w:p>
            <w:pPr>
              <w:spacing w:line="360" w:lineRule="exact"/>
              <w:rPr>
                <w:rFonts w:ascii="宋体" w:hAnsi="宋体" w:cs="宋体"/>
                <w:b/>
                <w:sz w:val="24"/>
                <w:szCs w:val="24"/>
              </w:rPr>
            </w:pPr>
          </w:p>
        </w:tc>
        <w:tc>
          <w:tcPr>
            <w:tcW w:w="1821" w:type="dxa"/>
          </w:tcPr>
          <w:p>
            <w:pPr>
              <w:spacing w:line="360" w:lineRule="exact"/>
              <w:rPr>
                <w:rFonts w:ascii="宋体" w:hAnsi="宋体" w:cs="宋体"/>
                <w:b/>
                <w:sz w:val="24"/>
                <w:szCs w:val="24"/>
              </w:rPr>
            </w:pPr>
          </w:p>
        </w:tc>
        <w:tc>
          <w:tcPr>
            <w:tcW w:w="2109" w:type="dxa"/>
          </w:tcPr>
          <w:p>
            <w:pPr>
              <w:spacing w:line="360" w:lineRule="exact"/>
              <w:rPr>
                <w:rFonts w:ascii="宋体" w:hAnsi="宋体" w:cs="宋体"/>
                <w:b/>
                <w:sz w:val="24"/>
                <w:szCs w:val="24"/>
              </w:rPr>
            </w:pPr>
          </w:p>
        </w:tc>
      </w:tr>
    </w:tbl>
    <w:p>
      <w:pPr>
        <w:spacing w:line="360" w:lineRule="exact"/>
        <w:ind w:firstLine="424" w:firstLineChars="202"/>
        <w:rPr>
          <w:rFonts w:ascii="宋体" w:hAnsi="宋体" w:cs="宋体"/>
        </w:rPr>
      </w:pPr>
    </w:p>
    <w:p>
      <w:pPr>
        <w:spacing w:line="360" w:lineRule="exact"/>
        <w:ind w:firstLine="424" w:firstLineChars="202"/>
        <w:rPr>
          <w:rFonts w:ascii="宋体"/>
        </w:rPr>
      </w:pPr>
      <w:r>
        <w:rPr>
          <w:rFonts w:hint="eastAsia" w:ascii="宋体" w:hAnsi="宋体" w:cs="宋体"/>
        </w:rPr>
        <w:t>注：</w:t>
      </w:r>
    </w:p>
    <w:p>
      <w:pPr>
        <w:spacing w:line="360" w:lineRule="exact"/>
        <w:ind w:firstLine="424" w:firstLineChars="202"/>
        <w:rPr>
          <w:rFonts w:ascii="宋体"/>
        </w:rPr>
      </w:pPr>
      <w:r>
        <w:rPr>
          <w:rFonts w:hint="eastAsia" w:ascii="宋体" w:hAnsi="宋体" w:cs="宋体"/>
        </w:rPr>
        <w:t>1、供应商应对照磋商文件第三章项目需求内的要求，</w:t>
      </w:r>
      <w:r>
        <w:rPr>
          <w:rFonts w:hint="eastAsia" w:ascii="宋体" w:hAnsi="宋体" w:cs="宋体"/>
          <w:b/>
          <w:bCs/>
        </w:rPr>
        <w:t>逐一填写</w:t>
      </w:r>
      <w:r>
        <w:rPr>
          <w:rFonts w:hint="eastAsia" w:ascii="宋体" w:hAnsi="宋体" w:cs="宋体"/>
        </w:rPr>
        <w:t>，所投产品或服务与磋商文件规定的项目要求有偏离的，应在此表中申明与技术要求条文的偏离情况，如有例外请说明。</w:t>
      </w:r>
      <w:r>
        <w:rPr>
          <w:rFonts w:hint="eastAsia" w:ascii="宋体" w:hAnsi="宋体" w:cs="宋体"/>
          <w:b/>
          <w:bCs/>
          <w:u w:val="single"/>
        </w:rPr>
        <w:t>（本项目不接受负偏离应标）</w:t>
      </w:r>
    </w:p>
    <w:p>
      <w:pPr>
        <w:spacing w:line="360" w:lineRule="exact"/>
        <w:ind w:firstLine="424" w:firstLineChars="202"/>
        <w:rPr>
          <w:rFonts w:ascii="宋体" w:hAnsi="宋体" w:cs="宋体"/>
        </w:rPr>
      </w:pPr>
      <w:r>
        <w:rPr>
          <w:rFonts w:hint="eastAsia" w:ascii="宋体" w:hAnsi="宋体" w:cs="宋体"/>
        </w:rPr>
        <w:t>2、该表不作为供应商对所投标的物关于技术要求等详细描述和说明的替代。</w:t>
      </w:r>
    </w:p>
    <w:p>
      <w:pPr>
        <w:spacing w:line="360" w:lineRule="exact"/>
        <w:ind w:firstLine="424" w:firstLineChars="202"/>
        <w:rPr>
          <w:rFonts w:ascii="宋体"/>
        </w:rPr>
      </w:pPr>
      <w:r>
        <w:rPr>
          <w:rFonts w:ascii="宋体"/>
        </w:rPr>
        <w:t>3、供应商如果虚假响应，将承担一切可能的风险。</w:t>
      </w:r>
    </w:p>
    <w:p>
      <w:pPr>
        <w:spacing w:line="360" w:lineRule="exact"/>
        <w:ind w:firstLine="424" w:firstLineChars="202"/>
        <w:rPr>
          <w:rFonts w:ascii="宋体"/>
        </w:rPr>
      </w:pPr>
      <w:r>
        <w:rPr>
          <w:rFonts w:ascii="宋体"/>
        </w:rPr>
        <w:t>4、供应商若提供其他增值服务，可以在表中自行据实填写。</w:t>
      </w:r>
    </w:p>
    <w:p>
      <w:pPr>
        <w:spacing w:line="440" w:lineRule="exact"/>
        <w:ind w:firstLine="424" w:firstLineChars="202"/>
        <w:rPr>
          <w:rFonts w:ascii="宋体" w:hAnsi="宋体" w:cs="宋体"/>
        </w:rPr>
      </w:pPr>
    </w:p>
    <w:p>
      <w:pPr>
        <w:spacing w:line="440" w:lineRule="exact"/>
        <w:ind w:firstLine="424" w:firstLineChars="202"/>
        <w:rPr>
          <w:rFonts w:ascii="宋体" w:hAnsi="宋体" w:cs="宋体"/>
        </w:rPr>
      </w:pPr>
    </w:p>
    <w:p>
      <w:pPr>
        <w:spacing w:line="440" w:lineRule="exact"/>
        <w:ind w:firstLine="424" w:firstLineChars="202"/>
        <w:rPr>
          <w:rFonts w:ascii="宋体"/>
        </w:rPr>
      </w:pPr>
      <w:r>
        <w:rPr>
          <w:rFonts w:hint="eastAsia" w:ascii="宋体" w:hAnsi="宋体" w:cs="宋体"/>
        </w:rPr>
        <w:t>供应商：（公章）</w:t>
      </w:r>
    </w:p>
    <w:p>
      <w:pPr>
        <w:spacing w:line="440" w:lineRule="exact"/>
        <w:ind w:firstLine="424" w:firstLineChars="202"/>
        <w:rPr>
          <w:rFonts w:ascii="宋体"/>
        </w:rPr>
      </w:pPr>
      <w:r>
        <w:rPr>
          <w:rFonts w:hint="eastAsia" w:ascii="宋体" w:hAnsi="宋体" w:cs="宋体"/>
        </w:rPr>
        <w:t>法定代表人或被授权人：（签字或盖章）</w:t>
      </w:r>
    </w:p>
    <w:p>
      <w:pPr>
        <w:snapToGrid w:val="0"/>
        <w:spacing w:line="520" w:lineRule="exact"/>
        <w:jc w:val="left"/>
        <w:outlineLvl w:val="3"/>
        <w:rPr>
          <w:rFonts w:ascii="宋体" w:hAnsi="宋体" w:cs="宋体"/>
        </w:rPr>
      </w:pPr>
      <w:r>
        <w:rPr>
          <w:rFonts w:hint="eastAsia" w:ascii="宋体" w:hAnsi="宋体" w:cs="宋体"/>
        </w:rPr>
        <w:t xml:space="preserve">    日期：年月日</w:t>
      </w:r>
    </w:p>
    <w:p>
      <w:pPr>
        <w:snapToGrid w:val="0"/>
        <w:spacing w:line="520" w:lineRule="exact"/>
        <w:jc w:val="left"/>
        <w:outlineLvl w:val="3"/>
        <w:rPr>
          <w:rFonts w:ascii="宋体" w:hAnsi="宋体" w:cs="宋体"/>
        </w:rPr>
      </w:pPr>
      <w:r>
        <w:rPr>
          <w:rFonts w:hint="eastAsia" w:ascii="宋体" w:hAnsi="宋体" w:cs="宋体"/>
        </w:rPr>
        <w:br w:type="page"/>
      </w:r>
    </w:p>
    <w:p>
      <w:pPr>
        <w:snapToGrid w:val="0"/>
        <w:spacing w:line="520" w:lineRule="exact"/>
        <w:ind w:firstLine="562" w:firstLineChars="200"/>
        <w:jc w:val="center"/>
        <w:rPr>
          <w:rFonts w:ascii="宋体" w:hAnsi="宋体" w:cs="宋体"/>
          <w:b/>
          <w:bCs/>
          <w:sz w:val="28"/>
          <w:szCs w:val="28"/>
        </w:rPr>
      </w:pPr>
      <w:r>
        <w:rPr>
          <w:rFonts w:hint="eastAsia" w:ascii="宋体" w:hAnsi="宋体" w:cs="宋体"/>
          <w:b/>
          <w:bCs/>
          <w:sz w:val="28"/>
          <w:szCs w:val="28"/>
        </w:rPr>
        <w:t>6、竞争性磋商响应函</w:t>
      </w:r>
    </w:p>
    <w:p>
      <w:pPr>
        <w:snapToGrid w:val="0"/>
        <w:spacing w:line="440" w:lineRule="exact"/>
        <w:rPr>
          <w:rFonts w:ascii="宋体" w:hAnsi="宋体" w:cs="宋体"/>
          <w:sz w:val="24"/>
          <w:szCs w:val="24"/>
        </w:rPr>
      </w:pPr>
      <w:r>
        <w:rPr>
          <w:rFonts w:hint="eastAsia" w:ascii="方正仿宋_GBK"/>
          <w:sz w:val="24"/>
          <w:szCs w:val="24"/>
          <w:u w:val="single"/>
        </w:rPr>
        <w:t>江苏省南通市人民检察院</w:t>
      </w:r>
      <w:r>
        <w:rPr>
          <w:rFonts w:hint="eastAsia" w:ascii="宋体" w:hAnsi="宋体" w:cs="宋体"/>
          <w:sz w:val="24"/>
          <w:szCs w:val="24"/>
        </w:rPr>
        <w:t>：</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依据贵单位委托代理机构组织的</w:t>
      </w:r>
      <w:r>
        <w:rPr>
          <w:rFonts w:hint="eastAsia" w:ascii="宋体" w:hAnsi="宋体" w:cs="宋体"/>
          <w:sz w:val="24"/>
          <w:szCs w:val="24"/>
          <w:u w:val="single"/>
        </w:rPr>
        <w:t xml:space="preserve">    　　　  </w:t>
      </w:r>
      <w:r>
        <w:rPr>
          <w:rFonts w:hint="eastAsia" w:ascii="宋体" w:hAnsi="宋体" w:cs="宋体"/>
          <w:sz w:val="24"/>
          <w:szCs w:val="24"/>
        </w:rPr>
        <w:t>（磋商项目名称)项目竞争性磋商的邀请，我方授权</w:t>
      </w:r>
      <w:r>
        <w:rPr>
          <w:rFonts w:hint="eastAsia" w:ascii="宋体" w:hAnsi="宋体" w:cs="宋体"/>
          <w:sz w:val="24"/>
          <w:szCs w:val="24"/>
          <w:u w:val="single"/>
        </w:rPr>
        <w:t xml:space="preserve">    　　 </w:t>
      </w: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（职务）为全权代表参加该项目的磋商工作，全权处理本次竞争性磋商的有关事宜。同时，我公司声明如下：</w:t>
      </w:r>
    </w:p>
    <w:p>
      <w:pPr>
        <w:numPr>
          <w:ilvl w:val="0"/>
          <w:numId w:val="7"/>
        </w:num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我公司愿意按照竞争性磋商文件的一切要求，提供完成该项目的全部内容，我公司的投标报价包含货物的成本、利润、税金、开办费、开模费；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售后服务等一切费用；即本项目采购的货物交付使用前的所有费用以及免费质保期内的服务费用等包含响应招标文件采购要求的所有费用。</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2、我公司已经详细阅读了竞争性磋商文件的全部内容，我公司已完全清晰理解竞争性磋商文件的要求，不存在任何含糊不清和误解之处，同意放弃对竞争性磋商文件所表述的内容提出异议和质疑的权利。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3、我公司已毫无保留地向贵方提供一切所需的证明材料。</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5、我公司尊重磋商小组所作的评定结果，同时清楚理解到报价最低并非意味着必定获得成交资格。</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6、一旦成交，我公司承诺无正当理由拒绝签订合同，将被贵方取消成交资格。</w:t>
      </w:r>
    </w:p>
    <w:p>
      <w:pPr>
        <w:snapToGrid w:val="0"/>
        <w:spacing w:line="520" w:lineRule="exact"/>
        <w:ind w:firstLine="480" w:firstLineChars="200"/>
        <w:outlineLvl w:val="3"/>
        <w:rPr>
          <w:rFonts w:ascii="宋体" w:hAnsi="宋体" w:cs="宋体"/>
          <w:bCs/>
          <w:sz w:val="24"/>
          <w:szCs w:val="24"/>
        </w:rPr>
      </w:pPr>
      <w:r>
        <w:rPr>
          <w:rFonts w:hint="eastAsia" w:ascii="宋体" w:hAnsi="宋体" w:cs="宋体"/>
          <w:sz w:val="24"/>
          <w:szCs w:val="24"/>
        </w:rPr>
        <w:t>7、</w:t>
      </w:r>
      <w:r>
        <w:rPr>
          <w:rFonts w:hint="eastAsia" w:ascii="宋体" w:hAnsi="宋体" w:cs="宋体"/>
          <w:bCs/>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竞争性磋商响应单位：（加盖公章）</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法定代表人或被授权人：（签字或盖章）</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年      月     日</w:t>
      </w:r>
    </w:p>
    <w:p>
      <w:pPr>
        <w:snapToGrid w:val="0"/>
        <w:spacing w:line="520" w:lineRule="exact"/>
        <w:jc w:val="left"/>
        <w:outlineLvl w:val="3"/>
        <w:rPr>
          <w:rFonts w:ascii="宋体" w:hAnsi="宋体" w:cs="宋体"/>
        </w:rPr>
      </w:pPr>
      <w:r>
        <w:rPr>
          <w:rFonts w:hint="eastAsia" w:ascii="宋体" w:hAnsi="宋体" w:cs="宋体"/>
          <w:b/>
          <w:sz w:val="24"/>
          <w:szCs w:val="24"/>
        </w:rPr>
        <w:br w:type="page"/>
      </w:r>
    </w:p>
    <w:p>
      <w:pPr>
        <w:spacing w:line="500" w:lineRule="exact"/>
        <w:ind w:left="487"/>
        <w:jc w:val="center"/>
        <w:outlineLvl w:val="3"/>
        <w:rPr>
          <w:rFonts w:ascii="宋体" w:hAnsi="宋体" w:cs="宋体"/>
          <w:b/>
          <w:bCs/>
          <w:sz w:val="28"/>
          <w:szCs w:val="28"/>
        </w:rPr>
      </w:pPr>
      <w:r>
        <w:rPr>
          <w:rFonts w:hint="eastAsia" w:ascii="宋体" w:hAnsi="宋体" w:cs="宋体"/>
          <w:b/>
          <w:bCs/>
          <w:sz w:val="28"/>
          <w:szCs w:val="28"/>
        </w:rPr>
        <w:t>7、磋商响应报价总表</w:t>
      </w:r>
    </w:p>
    <w:p>
      <w:pPr>
        <w:kinsoku w:val="0"/>
        <w:topLinePunct/>
        <w:snapToGrid w:val="0"/>
        <w:spacing w:line="520" w:lineRule="exact"/>
        <w:rPr>
          <w:rFonts w:ascii="方正仿宋_GBK"/>
          <w:b/>
          <w:sz w:val="24"/>
          <w:szCs w:val="24"/>
        </w:rPr>
      </w:pPr>
      <w:r>
        <w:rPr>
          <w:rFonts w:hint="eastAsia" w:ascii="方正仿宋_GBK"/>
          <w:b/>
          <w:sz w:val="24"/>
          <w:szCs w:val="24"/>
        </w:rPr>
        <w:t>项目</w:t>
      </w:r>
      <w:r>
        <w:rPr>
          <w:rFonts w:ascii="方正仿宋_GBK"/>
          <w:b/>
          <w:sz w:val="24"/>
          <w:szCs w:val="24"/>
        </w:rPr>
        <w:t>名称：</w:t>
      </w:r>
    </w:p>
    <w:tbl>
      <w:tblPr>
        <w:tblStyle w:val="20"/>
        <w:tblW w:w="9654" w:type="dxa"/>
        <w:tblInd w:w="-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5"/>
        <w:gridCol w:w="2126"/>
        <w:gridCol w:w="453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b/>
                <w:sz w:val="24"/>
                <w:szCs w:val="24"/>
              </w:rPr>
            </w:pPr>
            <w:r>
              <w:rPr>
                <w:rFonts w:hint="eastAsia" w:ascii="方正仿宋_GBK"/>
                <w:b/>
                <w:sz w:val="24"/>
                <w:szCs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b/>
                <w:sz w:val="24"/>
                <w:szCs w:val="24"/>
              </w:rPr>
            </w:pPr>
            <w:r>
              <w:rPr>
                <w:rFonts w:hint="eastAsia" w:ascii="方正仿宋_GBK"/>
                <w:b/>
                <w:sz w:val="24"/>
                <w:szCs w:val="24"/>
              </w:rPr>
              <w:t>报价轮次</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b/>
                <w:sz w:val="24"/>
                <w:szCs w:val="24"/>
              </w:rPr>
            </w:pPr>
            <w:r>
              <w:rPr>
                <w:rFonts w:hint="eastAsia" w:ascii="方正仿宋_GBK"/>
                <w:b/>
                <w:sz w:val="24"/>
                <w:szCs w:val="24"/>
              </w:rPr>
              <w:t>磋商总报价（元）</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b/>
                <w:sz w:val="24"/>
                <w:szCs w:val="24"/>
              </w:rPr>
            </w:pPr>
            <w:r>
              <w:rPr>
                <w:rFonts w:hint="eastAsia" w:ascii="方正仿宋_GBK"/>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bCs/>
                <w:sz w:val="24"/>
                <w:szCs w:val="24"/>
              </w:rPr>
            </w:pPr>
            <w:r>
              <w:rPr>
                <w:rFonts w:hint="eastAsia" w:ascii="方正仿宋_GBK"/>
                <w:bCs/>
                <w:sz w:val="24"/>
                <w:szCs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bCs/>
                <w:sz w:val="24"/>
                <w:szCs w:val="24"/>
              </w:rPr>
            </w:pPr>
            <w:r>
              <w:rPr>
                <w:rFonts w:hint="eastAsia" w:ascii="方正仿宋_GBK"/>
                <w:bCs/>
                <w:sz w:val="24"/>
                <w:szCs w:val="24"/>
              </w:rPr>
              <w:t>首次</w:t>
            </w:r>
            <w:r>
              <w:rPr>
                <w:rFonts w:ascii="方正仿宋_GBK"/>
                <w:bCs/>
                <w:sz w:val="24"/>
                <w:szCs w:val="24"/>
              </w:rPr>
              <w:t>报价</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sz w:val="24"/>
                <w:szCs w:val="24"/>
              </w:rPr>
            </w:pPr>
            <w:r>
              <w:rPr>
                <w:rFonts w:hint="eastAsia" w:ascii="方正仿宋_GBK"/>
                <w:sz w:val="24"/>
                <w:szCs w:val="24"/>
              </w:rPr>
              <w:t>大写（人民币）：</w:t>
            </w:r>
          </w:p>
          <w:p>
            <w:pPr>
              <w:kinsoku w:val="0"/>
              <w:topLinePunct/>
              <w:snapToGrid w:val="0"/>
              <w:spacing w:line="520" w:lineRule="exact"/>
              <w:rPr>
                <w:rFonts w:ascii="方正仿宋_GBK"/>
                <w:sz w:val="24"/>
                <w:szCs w:val="24"/>
              </w:rPr>
            </w:pPr>
            <w:r>
              <w:rPr>
                <w:rFonts w:hint="eastAsia" w:ascii="方正仿宋_GBK"/>
                <w:sz w:val="24"/>
                <w:szCs w:val="24"/>
              </w:rPr>
              <w:t>小写（￥）：</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bCs/>
                <w:sz w:val="24"/>
                <w:szCs w:val="24"/>
              </w:rPr>
            </w:pPr>
            <w:r>
              <w:rPr>
                <w:rFonts w:hint="eastAsia" w:ascii="方正仿宋_GBK"/>
                <w:bCs/>
                <w:sz w:val="24"/>
                <w:szCs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bCs/>
                <w:sz w:val="24"/>
                <w:szCs w:val="24"/>
              </w:rPr>
            </w:pPr>
            <w:r>
              <w:rPr>
                <w:rFonts w:hint="eastAsia" w:ascii="方正仿宋_GBK"/>
                <w:bCs/>
                <w:sz w:val="24"/>
                <w:szCs w:val="24"/>
              </w:rPr>
              <w:t>第二次</w:t>
            </w:r>
            <w:r>
              <w:rPr>
                <w:rFonts w:ascii="方正仿宋_GBK"/>
                <w:bCs/>
                <w:sz w:val="24"/>
                <w:szCs w:val="24"/>
              </w:rPr>
              <w:t>报价</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sz w:val="24"/>
                <w:szCs w:val="24"/>
              </w:rPr>
            </w:pPr>
            <w:r>
              <w:rPr>
                <w:rFonts w:hint="eastAsia" w:ascii="方正仿宋_GBK"/>
                <w:sz w:val="24"/>
                <w:szCs w:val="24"/>
              </w:rPr>
              <w:t>大写（人民币）：</w:t>
            </w:r>
          </w:p>
          <w:p>
            <w:pPr>
              <w:kinsoku w:val="0"/>
              <w:topLinePunct/>
              <w:snapToGrid w:val="0"/>
              <w:spacing w:line="520" w:lineRule="exact"/>
              <w:rPr>
                <w:rFonts w:ascii="方正仿宋_GBK"/>
                <w:sz w:val="24"/>
                <w:szCs w:val="24"/>
              </w:rPr>
            </w:pPr>
            <w:r>
              <w:rPr>
                <w:rFonts w:hint="eastAsia" w:ascii="方正仿宋_GBK"/>
                <w:sz w:val="24"/>
                <w:szCs w:val="24"/>
              </w:rPr>
              <w:t>小写（￥）：</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6" w:hRule="atLeast"/>
        </w:trPr>
        <w:tc>
          <w:tcPr>
            <w:tcW w:w="865"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方正仿宋_GBK"/>
                <w:bCs/>
                <w:sz w:val="24"/>
                <w:szCs w:val="24"/>
              </w:rPr>
            </w:pPr>
            <w:r>
              <w:rPr>
                <w:rFonts w:hint="eastAsia" w:ascii="方正仿宋_GBK"/>
                <w:bCs/>
                <w:sz w:val="24"/>
                <w:szCs w:val="24"/>
              </w:rPr>
              <w:t>3</w:t>
            </w:r>
          </w:p>
        </w:tc>
        <w:tc>
          <w:tcPr>
            <w:tcW w:w="212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bCs/>
                <w:sz w:val="24"/>
                <w:szCs w:val="24"/>
              </w:rPr>
            </w:pPr>
            <w:r>
              <w:rPr>
                <w:rFonts w:hint="eastAsia" w:ascii="方正仿宋_GBK"/>
                <w:bCs/>
                <w:sz w:val="24"/>
                <w:szCs w:val="24"/>
              </w:rPr>
              <w:t>第三次</w:t>
            </w:r>
            <w:r>
              <w:rPr>
                <w:rFonts w:ascii="方正仿宋_GBK"/>
                <w:bCs/>
                <w:sz w:val="24"/>
                <w:szCs w:val="24"/>
              </w:rPr>
              <w:t>报价</w:t>
            </w:r>
          </w:p>
        </w:tc>
        <w:tc>
          <w:tcPr>
            <w:tcW w:w="4536"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sz w:val="24"/>
                <w:szCs w:val="24"/>
              </w:rPr>
            </w:pPr>
            <w:r>
              <w:rPr>
                <w:rFonts w:hint="eastAsia" w:ascii="方正仿宋_GBK"/>
                <w:sz w:val="24"/>
                <w:szCs w:val="24"/>
              </w:rPr>
              <w:t>大写（人民币）：</w:t>
            </w:r>
          </w:p>
          <w:p>
            <w:pPr>
              <w:kinsoku w:val="0"/>
              <w:topLinePunct/>
              <w:snapToGrid w:val="0"/>
              <w:spacing w:line="520" w:lineRule="exact"/>
              <w:rPr>
                <w:rFonts w:ascii="方正仿宋_GBK"/>
                <w:sz w:val="24"/>
                <w:szCs w:val="24"/>
              </w:rPr>
            </w:pPr>
            <w:r>
              <w:rPr>
                <w:rFonts w:hint="eastAsia" w:ascii="方正仿宋_GBK"/>
                <w:sz w:val="24"/>
                <w:szCs w:val="24"/>
              </w:rPr>
              <w:t>小写（￥）：</w:t>
            </w:r>
          </w:p>
        </w:tc>
        <w:tc>
          <w:tcPr>
            <w:tcW w:w="212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方正仿宋_GBK"/>
                <w:sz w:val="24"/>
                <w:szCs w:val="24"/>
              </w:rPr>
            </w:pPr>
          </w:p>
        </w:tc>
      </w:tr>
    </w:tbl>
    <w:p>
      <w:pPr>
        <w:kinsoku w:val="0"/>
        <w:topLinePunct/>
        <w:snapToGrid w:val="0"/>
        <w:spacing w:line="520" w:lineRule="exact"/>
        <w:rPr>
          <w:rFonts w:ascii="方正仿宋_GBK"/>
          <w:sz w:val="24"/>
          <w:szCs w:val="24"/>
        </w:rPr>
      </w:pPr>
      <w:r>
        <w:rPr>
          <w:rFonts w:hint="eastAsia" w:ascii="方正仿宋_GBK"/>
          <w:sz w:val="24"/>
          <w:szCs w:val="24"/>
        </w:rPr>
        <w:t xml:space="preserve">投标人：（盖章）             </w:t>
      </w:r>
    </w:p>
    <w:p>
      <w:pPr>
        <w:kinsoku w:val="0"/>
        <w:topLinePunct/>
        <w:snapToGrid w:val="0"/>
        <w:spacing w:line="520" w:lineRule="exact"/>
        <w:rPr>
          <w:rFonts w:ascii="方正仿宋_GBK"/>
          <w:sz w:val="24"/>
          <w:szCs w:val="24"/>
        </w:rPr>
      </w:pPr>
      <w:r>
        <w:rPr>
          <w:rFonts w:hint="eastAsia" w:ascii="方正仿宋_GBK"/>
          <w:sz w:val="24"/>
          <w:szCs w:val="24"/>
        </w:rPr>
        <w:t>法定代表人或被授权人（签字）：</w:t>
      </w:r>
    </w:p>
    <w:p>
      <w:pPr>
        <w:kinsoku w:val="0"/>
        <w:topLinePunct/>
        <w:snapToGrid w:val="0"/>
        <w:spacing w:line="520" w:lineRule="exact"/>
        <w:rPr>
          <w:rFonts w:ascii="方正仿宋_GBK"/>
          <w:sz w:val="24"/>
          <w:szCs w:val="24"/>
        </w:rPr>
      </w:pPr>
      <w:r>
        <w:rPr>
          <w:rFonts w:hint="eastAsia" w:ascii="方正仿宋_GBK"/>
          <w:sz w:val="24"/>
          <w:szCs w:val="24"/>
        </w:rPr>
        <w:t>日期：</w:t>
      </w:r>
    </w:p>
    <w:p>
      <w:pPr>
        <w:kinsoku w:val="0"/>
        <w:topLinePunct/>
        <w:snapToGrid w:val="0"/>
        <w:spacing w:line="520" w:lineRule="exact"/>
        <w:rPr>
          <w:rFonts w:ascii="方正仿宋_GBK"/>
          <w:b/>
          <w:sz w:val="24"/>
          <w:szCs w:val="24"/>
        </w:rPr>
      </w:pPr>
      <w:r>
        <w:rPr>
          <w:rFonts w:hint="eastAsia" w:ascii="方正仿宋_GBK"/>
          <w:b/>
          <w:sz w:val="24"/>
          <w:szCs w:val="24"/>
        </w:rPr>
        <w:t>注：</w:t>
      </w:r>
    </w:p>
    <w:p>
      <w:pPr>
        <w:numPr>
          <w:ilvl w:val="0"/>
          <w:numId w:val="8"/>
        </w:numPr>
        <w:kinsoku w:val="0"/>
        <w:topLinePunct/>
        <w:snapToGrid w:val="0"/>
        <w:spacing w:line="520" w:lineRule="exact"/>
        <w:rPr>
          <w:rFonts w:ascii="方正仿宋_GBK"/>
          <w:sz w:val="24"/>
          <w:szCs w:val="24"/>
        </w:rPr>
      </w:pPr>
      <w:r>
        <w:rPr>
          <w:rFonts w:hint="eastAsia" w:ascii="方正仿宋_GBK"/>
          <w:sz w:val="24"/>
          <w:szCs w:val="24"/>
        </w:rPr>
        <w:t>本表为格式表，不得自行改动，必须提供。</w:t>
      </w:r>
    </w:p>
    <w:p>
      <w:pPr>
        <w:numPr>
          <w:ilvl w:val="0"/>
          <w:numId w:val="8"/>
        </w:numPr>
        <w:kinsoku w:val="0"/>
        <w:topLinePunct/>
        <w:snapToGrid w:val="0"/>
        <w:spacing w:line="520" w:lineRule="exact"/>
        <w:rPr>
          <w:rFonts w:ascii="方正仿宋_GBK"/>
          <w:sz w:val="24"/>
          <w:szCs w:val="24"/>
        </w:rPr>
      </w:pPr>
      <w:r>
        <w:rPr>
          <w:rFonts w:hint="eastAsia" w:ascii="方正仿宋_GBK"/>
          <w:sz w:val="24"/>
          <w:szCs w:val="24"/>
        </w:rPr>
        <w:t>磋商报价的总价中应</w:t>
      </w:r>
      <w:r>
        <w:rPr>
          <w:rFonts w:hint="eastAsia" w:ascii="宋体" w:hAnsi="宋体" w:cs="宋体"/>
          <w:sz w:val="24"/>
          <w:szCs w:val="24"/>
        </w:rPr>
        <w:t>包含货物的成本、利润、税金、开办费、开模费；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售后服务等一切费用；即本项目采购的货物交付使用前的所有费用以及免费质保期内的服务费用等包含响应招标文件采购要求的所有费用。</w:t>
      </w:r>
    </w:p>
    <w:p>
      <w:pPr>
        <w:kinsoku w:val="0"/>
        <w:topLinePunct/>
        <w:snapToGrid w:val="0"/>
        <w:spacing w:line="520" w:lineRule="exact"/>
        <w:rPr>
          <w:rFonts w:ascii="方正仿宋_GBK"/>
          <w:sz w:val="24"/>
          <w:szCs w:val="24"/>
        </w:rPr>
      </w:pPr>
    </w:p>
    <w:p>
      <w:pPr>
        <w:kinsoku w:val="0"/>
        <w:topLinePunct/>
        <w:snapToGrid w:val="0"/>
        <w:spacing w:line="520" w:lineRule="exact"/>
        <w:rPr>
          <w:rFonts w:ascii="方正仿宋_GBK"/>
          <w:sz w:val="24"/>
          <w:szCs w:val="24"/>
        </w:rPr>
      </w:pPr>
    </w:p>
    <w:p>
      <w:pPr>
        <w:kinsoku w:val="0"/>
        <w:topLinePunct/>
        <w:snapToGrid w:val="0"/>
        <w:spacing w:line="520" w:lineRule="exact"/>
        <w:rPr>
          <w:rFonts w:ascii="方正仿宋_GBK"/>
          <w:b/>
          <w:sz w:val="24"/>
          <w:szCs w:val="24"/>
        </w:rPr>
      </w:pPr>
      <w:r>
        <w:rPr>
          <w:rFonts w:hint="eastAsia" w:ascii="方正仿宋_GBK"/>
          <w:b/>
          <w:sz w:val="24"/>
          <w:szCs w:val="24"/>
        </w:rPr>
        <w:t>注：第二次、第三次报价将在开标现场填写，响应文件密封提交时只需填写磋商报价总计（首次）。</w:t>
      </w:r>
    </w:p>
    <w:p>
      <w:r>
        <w:br w:type="page"/>
      </w:r>
    </w:p>
    <w:p>
      <w:pPr>
        <w:spacing w:line="500" w:lineRule="exact"/>
        <w:jc w:val="center"/>
        <w:outlineLvl w:val="3"/>
        <w:rPr>
          <w:rFonts w:ascii="宋体" w:hAnsi="宋体" w:cs="宋体"/>
          <w:b/>
          <w:bCs/>
          <w:sz w:val="28"/>
          <w:szCs w:val="28"/>
        </w:rPr>
      </w:pPr>
      <w:r>
        <w:rPr>
          <w:rFonts w:hint="eastAsia" w:ascii="宋体" w:hAnsi="宋体" w:cs="宋体"/>
          <w:b/>
          <w:bCs/>
          <w:sz w:val="28"/>
          <w:szCs w:val="28"/>
        </w:rPr>
        <w:t>8、磋商响应报价明细表</w:t>
      </w:r>
    </w:p>
    <w:p>
      <w:pPr>
        <w:kinsoku w:val="0"/>
        <w:topLinePunct/>
        <w:snapToGrid w:val="0"/>
        <w:spacing w:line="520" w:lineRule="exact"/>
        <w:rPr>
          <w:rFonts w:ascii="方正仿宋_GBK"/>
          <w:b/>
          <w:sz w:val="24"/>
          <w:szCs w:val="24"/>
        </w:rPr>
      </w:pPr>
    </w:p>
    <w:p>
      <w:pPr>
        <w:kinsoku w:val="0"/>
        <w:topLinePunct/>
        <w:snapToGrid w:val="0"/>
        <w:spacing w:line="520" w:lineRule="exact"/>
        <w:rPr>
          <w:rFonts w:ascii="宋体" w:hAnsi="宋体" w:cs="宋体"/>
          <w:b/>
          <w:bCs/>
          <w:sz w:val="28"/>
          <w:szCs w:val="28"/>
        </w:rPr>
      </w:pPr>
      <w:r>
        <w:rPr>
          <w:rFonts w:hint="eastAsia" w:ascii="方正仿宋_GBK"/>
          <w:b/>
          <w:sz w:val="24"/>
          <w:szCs w:val="24"/>
        </w:rPr>
        <w:t>项目</w:t>
      </w:r>
      <w:r>
        <w:rPr>
          <w:rFonts w:ascii="方正仿宋_GBK"/>
          <w:b/>
          <w:sz w:val="24"/>
          <w:szCs w:val="24"/>
        </w:rPr>
        <w:t>名称：</w:t>
      </w:r>
    </w:p>
    <w:tbl>
      <w:tblPr>
        <w:tblStyle w:val="20"/>
        <w:tblW w:w="9340" w:type="dxa"/>
        <w:jc w:val="center"/>
        <w:tblLayout w:type="fixed"/>
        <w:tblCellMar>
          <w:top w:w="15" w:type="dxa"/>
          <w:left w:w="15" w:type="dxa"/>
          <w:bottom w:w="15" w:type="dxa"/>
          <w:right w:w="15" w:type="dxa"/>
        </w:tblCellMar>
      </w:tblPr>
      <w:tblGrid>
        <w:gridCol w:w="743"/>
        <w:gridCol w:w="1898"/>
        <w:gridCol w:w="1226"/>
        <w:gridCol w:w="1227"/>
        <w:gridCol w:w="1010"/>
        <w:gridCol w:w="1108"/>
        <w:gridCol w:w="1064"/>
        <w:gridCol w:w="1064"/>
      </w:tblGrid>
      <w:tr>
        <w:tblPrEx>
          <w:tblCellMar>
            <w:top w:w="15" w:type="dxa"/>
            <w:left w:w="15" w:type="dxa"/>
            <w:bottom w:w="15" w:type="dxa"/>
            <w:right w:w="15" w:type="dxa"/>
          </w:tblCellMar>
        </w:tblPrEx>
        <w:trPr>
          <w:trHeight w:val="390"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8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名称</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所投品牌</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数量</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单价（元）</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总价（元）</w:t>
            </w:r>
          </w:p>
        </w:tc>
      </w:tr>
      <w:tr>
        <w:tblPrEx>
          <w:tblCellMar>
            <w:top w:w="15" w:type="dxa"/>
            <w:left w:w="15" w:type="dxa"/>
            <w:bottom w:w="15" w:type="dxa"/>
            <w:right w:w="15" w:type="dxa"/>
          </w:tblCellMar>
        </w:tblPrEx>
        <w:trPr>
          <w:trHeight w:val="1134"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8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r>
      <w:tr>
        <w:tblPrEx>
          <w:tblCellMar>
            <w:top w:w="15" w:type="dxa"/>
            <w:left w:w="15" w:type="dxa"/>
            <w:bottom w:w="15" w:type="dxa"/>
            <w:right w:w="15" w:type="dxa"/>
          </w:tblCellMar>
        </w:tblPrEx>
        <w:trPr>
          <w:trHeight w:val="1134" w:hRule="exact"/>
          <w:jc w:val="center"/>
        </w:trPr>
        <w:tc>
          <w:tcPr>
            <w:tcW w:w="743" w:type="dxa"/>
            <w:tcBorders>
              <w:top w:val="single" w:color="auto" w:sz="4" w:space="0"/>
              <w:left w:val="single" w:color="000000" w:sz="4" w:space="0"/>
              <w:bottom w:val="single" w:color="000000"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8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108" w:type="dxa"/>
            <w:tcBorders>
              <w:top w:val="single" w:color="auto" w:sz="4" w:space="0"/>
              <w:left w:val="single" w:color="auto"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064" w:type="dxa"/>
            <w:tcBorders>
              <w:top w:val="single" w:color="auto" w:sz="4" w:space="0"/>
              <w:left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064" w:type="dxa"/>
            <w:tcBorders>
              <w:top w:val="single" w:color="auto" w:sz="4" w:space="0"/>
              <w:left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r>
      <w:tr>
        <w:tblPrEx>
          <w:tblCellMar>
            <w:top w:w="15" w:type="dxa"/>
            <w:left w:w="15" w:type="dxa"/>
            <w:bottom w:w="15" w:type="dxa"/>
            <w:right w:w="15" w:type="dxa"/>
          </w:tblCellMar>
        </w:tblPrEx>
        <w:trPr>
          <w:trHeight w:val="1134" w:hRule="exact"/>
          <w:jc w:val="center"/>
        </w:trPr>
        <w:tc>
          <w:tcPr>
            <w:tcW w:w="743" w:type="dxa"/>
            <w:tcBorders>
              <w:top w:val="single" w:color="auto" w:sz="4" w:space="0"/>
              <w:left w:val="single" w:color="000000" w:sz="4" w:space="0"/>
              <w:bottom w:val="single" w:color="000000"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8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108" w:type="dxa"/>
            <w:tcBorders>
              <w:top w:val="single" w:color="auto" w:sz="4" w:space="0"/>
              <w:left w:val="single" w:color="auto"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064" w:type="dxa"/>
            <w:tcBorders>
              <w:top w:val="single" w:color="auto" w:sz="4" w:space="0"/>
              <w:left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064" w:type="dxa"/>
            <w:tcBorders>
              <w:top w:val="single" w:color="auto" w:sz="4" w:space="0"/>
              <w:left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r>
      <w:tr>
        <w:tblPrEx>
          <w:tblCellMar>
            <w:top w:w="15" w:type="dxa"/>
            <w:left w:w="15" w:type="dxa"/>
            <w:bottom w:w="15" w:type="dxa"/>
            <w:right w:w="15" w:type="dxa"/>
          </w:tblCellMar>
        </w:tblPrEx>
        <w:trPr>
          <w:trHeight w:val="1134" w:hRule="exact"/>
          <w:jc w:val="center"/>
        </w:trPr>
        <w:tc>
          <w:tcPr>
            <w:tcW w:w="743" w:type="dxa"/>
            <w:tcBorders>
              <w:top w:val="single" w:color="000000" w:sz="4" w:space="0"/>
              <w:left w:val="single" w:color="000000" w:sz="4" w:space="0"/>
              <w:bottom w:val="single" w:color="000000"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8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108"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p>
        </w:tc>
      </w:tr>
      <w:tr>
        <w:tblPrEx>
          <w:tblCellMar>
            <w:top w:w="15" w:type="dxa"/>
            <w:left w:w="15" w:type="dxa"/>
            <w:bottom w:w="15" w:type="dxa"/>
            <w:right w:w="15" w:type="dxa"/>
          </w:tblCellMar>
        </w:tblPrEx>
        <w:trPr>
          <w:trHeight w:val="1134" w:hRule="exact"/>
          <w:jc w:val="center"/>
        </w:trPr>
        <w:tc>
          <w:tcPr>
            <w:tcW w:w="9340"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合计：</w:t>
            </w:r>
          </w:p>
        </w:tc>
      </w:tr>
    </w:tbl>
    <w:p>
      <w:pPr>
        <w:kinsoku w:val="0"/>
        <w:topLinePunct/>
        <w:snapToGrid w:val="0"/>
        <w:spacing w:line="520" w:lineRule="exact"/>
        <w:ind w:firstLine="120" w:firstLineChars="50"/>
        <w:rPr>
          <w:rFonts w:ascii="宋体" w:hAnsi="宋体" w:cs="宋体"/>
          <w:sz w:val="24"/>
          <w:szCs w:val="24"/>
        </w:rPr>
      </w:pPr>
    </w:p>
    <w:p>
      <w:pPr>
        <w:kinsoku w:val="0"/>
        <w:topLinePunct/>
        <w:snapToGrid w:val="0"/>
        <w:spacing w:line="520" w:lineRule="exact"/>
        <w:ind w:firstLine="120" w:firstLineChars="50"/>
        <w:rPr>
          <w:rFonts w:ascii="宋体" w:hAnsi="宋体" w:cs="宋体"/>
          <w:sz w:val="24"/>
          <w:szCs w:val="24"/>
        </w:rPr>
      </w:pPr>
    </w:p>
    <w:p>
      <w:pPr>
        <w:kinsoku w:val="0"/>
        <w:topLinePunct/>
        <w:snapToGrid w:val="0"/>
        <w:spacing w:line="520" w:lineRule="exact"/>
        <w:rPr>
          <w:rFonts w:ascii="宋体" w:hAnsi="宋体" w:cs="宋体"/>
          <w:sz w:val="24"/>
          <w:szCs w:val="24"/>
        </w:rPr>
      </w:pPr>
    </w:p>
    <w:p>
      <w:pPr>
        <w:kinsoku w:val="0"/>
        <w:topLinePunct/>
        <w:snapToGrid w:val="0"/>
        <w:spacing w:line="520" w:lineRule="exact"/>
        <w:ind w:firstLine="120" w:firstLineChars="50"/>
        <w:rPr>
          <w:rFonts w:ascii="宋体" w:hAnsi="宋体" w:cs="宋体"/>
          <w:sz w:val="24"/>
          <w:szCs w:val="24"/>
        </w:rPr>
      </w:pPr>
      <w:r>
        <w:rPr>
          <w:rFonts w:hint="eastAsia" w:ascii="宋体" w:hAnsi="宋体" w:cs="宋体"/>
          <w:sz w:val="24"/>
          <w:szCs w:val="24"/>
        </w:rPr>
        <w:t>投标供应商：（盖章）</w:t>
      </w:r>
    </w:p>
    <w:p>
      <w:pPr>
        <w:kinsoku w:val="0"/>
        <w:topLinePunct/>
        <w:snapToGrid w:val="0"/>
        <w:spacing w:line="520" w:lineRule="exact"/>
        <w:ind w:firstLine="120" w:firstLineChars="50"/>
        <w:rPr>
          <w:rFonts w:ascii="宋体" w:hAnsi="宋体" w:cs="宋体"/>
          <w:sz w:val="24"/>
          <w:szCs w:val="24"/>
        </w:rPr>
      </w:pPr>
      <w:r>
        <w:rPr>
          <w:rFonts w:hint="eastAsia" w:ascii="宋体" w:hAnsi="宋体" w:cs="宋体"/>
          <w:sz w:val="24"/>
          <w:szCs w:val="24"/>
        </w:rPr>
        <w:t>法定代表人或被授权人（签字或盖章）：</w:t>
      </w:r>
    </w:p>
    <w:p>
      <w:pPr>
        <w:kinsoku w:val="0"/>
        <w:topLinePunct/>
        <w:snapToGrid w:val="0"/>
        <w:spacing w:line="520" w:lineRule="exact"/>
        <w:ind w:firstLine="120" w:firstLineChars="50"/>
        <w:rPr>
          <w:rFonts w:ascii="宋体" w:hAnsi="宋体" w:cs="宋体"/>
          <w:sz w:val="24"/>
          <w:szCs w:val="24"/>
        </w:rPr>
      </w:pPr>
      <w:r>
        <w:rPr>
          <w:rFonts w:hint="eastAsia" w:ascii="宋体" w:hAnsi="宋体" w:cs="宋体"/>
          <w:sz w:val="24"/>
          <w:szCs w:val="24"/>
        </w:rPr>
        <w:t>日期：</w:t>
      </w:r>
    </w:p>
    <w:p>
      <w:pPr>
        <w:spacing w:line="500" w:lineRule="exact"/>
        <w:outlineLvl w:val="3"/>
        <w:rPr>
          <w:rFonts w:ascii="宋体" w:hAnsi="宋体" w:cs="宋体"/>
          <w:b/>
          <w:bCs/>
          <w:sz w:val="28"/>
          <w:szCs w:val="28"/>
        </w:rPr>
      </w:pPr>
    </w:p>
    <w:p>
      <w:pPr>
        <w:pStyle w:val="12"/>
        <w:rPr>
          <w:rFonts w:ascii="宋体" w:hAnsi="宋体" w:cs="宋体"/>
          <w:b/>
          <w:bCs/>
          <w:sz w:val="28"/>
          <w:szCs w:val="28"/>
        </w:rPr>
      </w:pPr>
    </w:p>
    <w:p>
      <w:pPr>
        <w:pStyle w:val="12"/>
        <w:rPr>
          <w:rFonts w:ascii="宋体" w:hAnsi="宋体" w:cs="宋体"/>
          <w:b/>
          <w:bCs/>
          <w:sz w:val="28"/>
          <w:szCs w:val="28"/>
        </w:rPr>
      </w:pPr>
    </w:p>
    <w:p>
      <w:pPr>
        <w:pStyle w:val="12"/>
        <w:rPr>
          <w:rFonts w:ascii="宋体" w:hAnsi="宋体" w:cs="宋体"/>
          <w:b/>
          <w:bCs/>
          <w:sz w:val="28"/>
          <w:szCs w:val="28"/>
        </w:rPr>
      </w:pPr>
    </w:p>
    <w:sectPr>
      <w:footerReference r:id="rId4" w:type="default"/>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jc w:val="center"/>
                          </w:pPr>
                          <w:r>
                            <w:fldChar w:fldCharType="begin"/>
                          </w:r>
                          <w:r>
                            <w:instrText xml:space="preserve">PAGE   \* MERGEFORMAT</w:instrText>
                          </w:r>
                          <w:r>
                            <w:fldChar w:fldCharType="separate"/>
                          </w:r>
                          <w:r>
                            <w:rPr>
                              <w:lang w:val="zh-CN"/>
                            </w:rPr>
                            <w:t>-</w:t>
                          </w:r>
                          <w:r>
                            <w:t xml:space="preserve"> 32 -</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LeQNEBAACnAwAADgAAAGRycy9lMm9Eb2MueG1srVNLbtswEN0XyB0I&#10;7mPJLlK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9SYpnBgZ9+/jj9+nP6/Z3M&#10;y8VVUqjzUGHhvcfS2H90Pe7NFAcMJuK9DCb9kRLBPOp7POsr+kh4OrRcLJclpjjmJgfxi8fjPkC8&#10;Fc6QZNQ04ACzruzwCeJQOpWk26y7UVrnIWpLupq+v8KWn2QQXNsUEXkdRphEaWg9WbHf9iPPrWuO&#10;SLPDlaipxRdAib6zqHjanskIk7EdjYQP/sM+Yj+5zYQ6QCG95OD8MtFx19KC/Ovnqsf3t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Vi3kDRAQAApwMAAA4AAAAAAAAAAQAgAAAAHgEAAGRy&#10;cy9lMm9Eb2MueG1sUEsFBgAAAAAGAAYAWQEAAGEFAAAAAA==&#10;">
              <v:fill on="f" focussize="0,0"/>
              <v:stroke on="f"/>
              <v:imagedata o:title=""/>
              <o:lock v:ext="edit" aspectratio="f"/>
              <v:textbox inset="0mm,0mm,0mm,0mm" style="mso-fit-shape-to-text:t;">
                <w:txbxContent>
                  <w:p>
                    <w:pPr>
                      <w:pStyle w:val="16"/>
                      <w:jc w:val="center"/>
                    </w:pPr>
                    <w:r>
                      <w:fldChar w:fldCharType="begin"/>
                    </w:r>
                    <w:r>
                      <w:instrText xml:space="preserve">PAGE   \* MERGEFORMAT</w:instrText>
                    </w:r>
                    <w:r>
                      <w:fldChar w:fldCharType="separate"/>
                    </w:r>
                    <w:r>
                      <w:rPr>
                        <w:lang w:val="zh-CN"/>
                      </w:rPr>
                      <w:t>-</w:t>
                    </w:r>
                    <w:r>
                      <w:t xml:space="preserve"> 32 -</w:t>
                    </w:r>
                    <w:r>
                      <w:fldChar w:fldCharType="end"/>
                    </w:r>
                  </w:p>
                </w:txbxContent>
              </v:textbox>
            </v:shape>
          </w:pict>
        </mc:Fallback>
      </mc:AlternateContent>
    </w:r>
  </w:p>
  <w:p>
    <w:pPr>
      <w:pStyle w:val="16"/>
      <w:wordWrap w:val="0"/>
      <w:ind w:right="1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rPr>
                              <w:rStyle w:val="24"/>
                            </w:rPr>
                          </w:pPr>
                          <w:r>
                            <w:fldChar w:fldCharType="begin"/>
                          </w:r>
                          <w:r>
                            <w:rPr>
                              <w:rStyle w:val="24"/>
                            </w:rPr>
                            <w:instrText xml:space="preserve">PAGE  </w:instrText>
                          </w:r>
                          <w:r>
                            <w:fldChar w:fldCharType="separate"/>
                          </w:r>
                          <w:r>
                            <w:rPr>
                              <w:rStyle w:val="24"/>
                            </w:rPr>
                            <w:t>4</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Pos4udABAACkAwAADgAAAAAAAAABACAAAAAeAQAAZHJz&#10;L2Uyb0RvYy54bWxQSwUGAAAAAAYABgBZAQAAYAUAAAAA&#10;">
              <v:fill on="f" focussize="0,0"/>
              <v:stroke on="f"/>
              <v:imagedata o:title=""/>
              <o:lock v:ext="edit" aspectratio="f"/>
              <v:textbox inset="0mm,0mm,0mm,0mm" style="mso-fit-shape-to-text:t;">
                <w:txbxContent>
                  <w:p>
                    <w:pPr>
                      <w:pStyle w:val="16"/>
                      <w:rPr>
                        <w:rStyle w:val="24"/>
                      </w:rPr>
                    </w:pPr>
                    <w:r>
                      <w:fldChar w:fldCharType="begin"/>
                    </w:r>
                    <w:r>
                      <w:rPr>
                        <w:rStyle w:val="24"/>
                      </w:rPr>
                      <w:instrText xml:space="preserve">PAGE  </w:instrText>
                    </w:r>
                    <w:r>
                      <w:fldChar w:fldCharType="separate"/>
                    </w:r>
                    <w:r>
                      <w:rPr>
                        <w:rStyle w:val="24"/>
                      </w:rP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DD9D5"/>
    <w:multiLevelType w:val="singleLevel"/>
    <w:tmpl w:val="B8FDD9D5"/>
    <w:lvl w:ilvl="0" w:tentative="0">
      <w:start w:val="8"/>
      <w:numFmt w:val="chineseCounting"/>
      <w:suff w:val="space"/>
      <w:lvlText w:val="第%1章"/>
      <w:lvlJc w:val="left"/>
      <w:rPr>
        <w:rFonts w:hint="eastAsia"/>
      </w:rPr>
    </w:lvl>
  </w:abstractNum>
  <w:abstractNum w:abstractNumId="1">
    <w:nsid w:val="0461259C"/>
    <w:multiLevelType w:val="multilevel"/>
    <w:tmpl w:val="0461259C"/>
    <w:lvl w:ilvl="0" w:tentative="0">
      <w:start w:val="2"/>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22D8BFAE"/>
    <w:multiLevelType w:val="singleLevel"/>
    <w:tmpl w:val="22D8BFAE"/>
    <w:lvl w:ilvl="0" w:tentative="0">
      <w:start w:val="1"/>
      <w:numFmt w:val="decimal"/>
      <w:suff w:val="nothing"/>
      <w:lvlText w:val="%1、"/>
      <w:lvlJc w:val="left"/>
    </w:lvl>
  </w:abstractNum>
  <w:abstractNum w:abstractNumId="3">
    <w:nsid w:val="598E6C04"/>
    <w:multiLevelType w:val="singleLevel"/>
    <w:tmpl w:val="598E6C04"/>
    <w:lvl w:ilvl="0" w:tentative="0">
      <w:start w:val="1"/>
      <w:numFmt w:val="decimal"/>
      <w:suff w:val="nothing"/>
      <w:lvlText w:val="（%1）"/>
      <w:lvlJc w:val="left"/>
    </w:lvl>
  </w:abstractNum>
  <w:abstractNum w:abstractNumId="4">
    <w:nsid w:val="598E707A"/>
    <w:multiLevelType w:val="singleLevel"/>
    <w:tmpl w:val="598E707A"/>
    <w:lvl w:ilvl="0" w:tentative="0">
      <w:start w:val="5"/>
      <w:numFmt w:val="chineseCounting"/>
      <w:suff w:val="space"/>
      <w:lvlText w:val="第%1章"/>
      <w:lvlJc w:val="left"/>
    </w:lvl>
  </w:abstractNum>
  <w:abstractNum w:abstractNumId="5">
    <w:nsid w:val="5A93A868"/>
    <w:multiLevelType w:val="singleLevel"/>
    <w:tmpl w:val="5A93A868"/>
    <w:lvl w:ilvl="0" w:tentative="0">
      <w:start w:val="3"/>
      <w:numFmt w:val="decimal"/>
      <w:suff w:val="nothing"/>
      <w:lvlText w:val="%1、"/>
      <w:lvlJc w:val="left"/>
    </w:lvl>
  </w:abstractNum>
  <w:abstractNum w:abstractNumId="6">
    <w:nsid w:val="658A1A8D"/>
    <w:multiLevelType w:val="singleLevel"/>
    <w:tmpl w:val="658A1A8D"/>
    <w:lvl w:ilvl="0" w:tentative="0">
      <w:start w:val="8"/>
      <w:numFmt w:val="chineseCounting"/>
      <w:suff w:val="nothing"/>
      <w:lvlText w:val="%1、"/>
      <w:lvlJc w:val="left"/>
      <w:rPr>
        <w:rFonts w:hint="eastAsia"/>
      </w:rPr>
    </w:lvl>
  </w:abstractNum>
  <w:abstractNum w:abstractNumId="7">
    <w:nsid w:val="7BD7B767"/>
    <w:multiLevelType w:val="singleLevel"/>
    <w:tmpl w:val="7BD7B767"/>
    <w:lvl w:ilvl="0" w:tentative="0">
      <w:start w:val="1"/>
      <w:numFmt w:val="chineseCounting"/>
      <w:suff w:val="nothing"/>
      <w:lvlText w:val="（%1）"/>
      <w:lvlJc w:val="left"/>
      <w:rPr>
        <w:rFonts w:hint="eastAsia"/>
      </w:rPr>
    </w:lvl>
  </w:abstractNum>
  <w:num w:numId="1">
    <w:abstractNumId w:val="5"/>
  </w:num>
  <w:num w:numId="2">
    <w:abstractNumId w:val="6"/>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B0718"/>
    <w:rsid w:val="000178D2"/>
    <w:rsid w:val="000727B5"/>
    <w:rsid w:val="001059D6"/>
    <w:rsid w:val="00105E2E"/>
    <w:rsid w:val="0011757D"/>
    <w:rsid w:val="0013543D"/>
    <w:rsid w:val="00192D99"/>
    <w:rsid w:val="0022707D"/>
    <w:rsid w:val="00255D14"/>
    <w:rsid w:val="002743BC"/>
    <w:rsid w:val="00277365"/>
    <w:rsid w:val="003E4DC5"/>
    <w:rsid w:val="00464472"/>
    <w:rsid w:val="0046717B"/>
    <w:rsid w:val="00472D79"/>
    <w:rsid w:val="004B6E75"/>
    <w:rsid w:val="004E4FF8"/>
    <w:rsid w:val="00512068"/>
    <w:rsid w:val="00526E10"/>
    <w:rsid w:val="005574AC"/>
    <w:rsid w:val="005D0A1F"/>
    <w:rsid w:val="006A3871"/>
    <w:rsid w:val="006F4FDD"/>
    <w:rsid w:val="00715CB4"/>
    <w:rsid w:val="007167BB"/>
    <w:rsid w:val="0079362C"/>
    <w:rsid w:val="00852F65"/>
    <w:rsid w:val="008D6C2D"/>
    <w:rsid w:val="00907C01"/>
    <w:rsid w:val="0091255C"/>
    <w:rsid w:val="00995CD8"/>
    <w:rsid w:val="00A13104"/>
    <w:rsid w:val="00AA0601"/>
    <w:rsid w:val="00AD0409"/>
    <w:rsid w:val="00B07C70"/>
    <w:rsid w:val="00B11F90"/>
    <w:rsid w:val="00B44ECA"/>
    <w:rsid w:val="00B95CC6"/>
    <w:rsid w:val="00BB6579"/>
    <w:rsid w:val="00BE3794"/>
    <w:rsid w:val="00D21FA3"/>
    <w:rsid w:val="00D51C8E"/>
    <w:rsid w:val="00D53F91"/>
    <w:rsid w:val="00D64019"/>
    <w:rsid w:val="00D66B0B"/>
    <w:rsid w:val="00D80B06"/>
    <w:rsid w:val="00D90BBD"/>
    <w:rsid w:val="00E6299A"/>
    <w:rsid w:val="00E70D28"/>
    <w:rsid w:val="00E92469"/>
    <w:rsid w:val="00F36953"/>
    <w:rsid w:val="00F43063"/>
    <w:rsid w:val="00F638D9"/>
    <w:rsid w:val="00F7581C"/>
    <w:rsid w:val="00FF41AF"/>
    <w:rsid w:val="01D71780"/>
    <w:rsid w:val="032855F8"/>
    <w:rsid w:val="035B6D5B"/>
    <w:rsid w:val="03835C53"/>
    <w:rsid w:val="03EC4C3D"/>
    <w:rsid w:val="04993008"/>
    <w:rsid w:val="04DC2D07"/>
    <w:rsid w:val="08D1629C"/>
    <w:rsid w:val="0A7455CF"/>
    <w:rsid w:val="0BD00578"/>
    <w:rsid w:val="0CE956A2"/>
    <w:rsid w:val="0D4E58FD"/>
    <w:rsid w:val="0D6F0144"/>
    <w:rsid w:val="0DC64BF2"/>
    <w:rsid w:val="0EA330F7"/>
    <w:rsid w:val="0FB26FC0"/>
    <w:rsid w:val="105452FB"/>
    <w:rsid w:val="11100E8E"/>
    <w:rsid w:val="11E046EF"/>
    <w:rsid w:val="12066DA0"/>
    <w:rsid w:val="12576EC4"/>
    <w:rsid w:val="138B18EC"/>
    <w:rsid w:val="13E8348A"/>
    <w:rsid w:val="153F1096"/>
    <w:rsid w:val="16BA3A31"/>
    <w:rsid w:val="18483187"/>
    <w:rsid w:val="18907B6B"/>
    <w:rsid w:val="195E5F23"/>
    <w:rsid w:val="19F832D3"/>
    <w:rsid w:val="1AF742B0"/>
    <w:rsid w:val="1B0A3AF3"/>
    <w:rsid w:val="1B630422"/>
    <w:rsid w:val="1BB516DB"/>
    <w:rsid w:val="1CB62165"/>
    <w:rsid w:val="1CE86D71"/>
    <w:rsid w:val="1D6C55B5"/>
    <w:rsid w:val="1DD47021"/>
    <w:rsid w:val="1E65372D"/>
    <w:rsid w:val="206B5636"/>
    <w:rsid w:val="208A7828"/>
    <w:rsid w:val="20BB40E5"/>
    <w:rsid w:val="210A1A06"/>
    <w:rsid w:val="21122563"/>
    <w:rsid w:val="213A144A"/>
    <w:rsid w:val="21694C89"/>
    <w:rsid w:val="23196DBC"/>
    <w:rsid w:val="249C4FA3"/>
    <w:rsid w:val="24F04AEE"/>
    <w:rsid w:val="25EC5BF6"/>
    <w:rsid w:val="26F95B4A"/>
    <w:rsid w:val="272A52D2"/>
    <w:rsid w:val="274A7552"/>
    <w:rsid w:val="281C28AB"/>
    <w:rsid w:val="298B2E1F"/>
    <w:rsid w:val="2AAF1671"/>
    <w:rsid w:val="2ACE4027"/>
    <w:rsid w:val="2B4642E7"/>
    <w:rsid w:val="2B660DB2"/>
    <w:rsid w:val="2DA23F6F"/>
    <w:rsid w:val="2EC75748"/>
    <w:rsid w:val="30342019"/>
    <w:rsid w:val="36B3464F"/>
    <w:rsid w:val="36F56157"/>
    <w:rsid w:val="3A813C13"/>
    <w:rsid w:val="3AF8715D"/>
    <w:rsid w:val="3B5801B5"/>
    <w:rsid w:val="3C053B7F"/>
    <w:rsid w:val="3DD7115E"/>
    <w:rsid w:val="3DEF3379"/>
    <w:rsid w:val="3ED26011"/>
    <w:rsid w:val="3F824EAF"/>
    <w:rsid w:val="441E39A1"/>
    <w:rsid w:val="444B0718"/>
    <w:rsid w:val="45255887"/>
    <w:rsid w:val="463E697E"/>
    <w:rsid w:val="48085D23"/>
    <w:rsid w:val="48EF5642"/>
    <w:rsid w:val="49AA0D2C"/>
    <w:rsid w:val="49DD301D"/>
    <w:rsid w:val="49F174FB"/>
    <w:rsid w:val="4B177522"/>
    <w:rsid w:val="4B91469A"/>
    <w:rsid w:val="4C57756C"/>
    <w:rsid w:val="4CA04F14"/>
    <w:rsid w:val="4CE64697"/>
    <w:rsid w:val="4D6056E7"/>
    <w:rsid w:val="4E274886"/>
    <w:rsid w:val="4F680791"/>
    <w:rsid w:val="4FE376EE"/>
    <w:rsid w:val="4FF07DD0"/>
    <w:rsid w:val="50E7311E"/>
    <w:rsid w:val="51782818"/>
    <w:rsid w:val="52EF5515"/>
    <w:rsid w:val="53A37EE8"/>
    <w:rsid w:val="53DA249B"/>
    <w:rsid w:val="541A1670"/>
    <w:rsid w:val="562A30F4"/>
    <w:rsid w:val="5B8852DE"/>
    <w:rsid w:val="5C9C1D81"/>
    <w:rsid w:val="5E67739A"/>
    <w:rsid w:val="5EFF36DC"/>
    <w:rsid w:val="5F7B2939"/>
    <w:rsid w:val="5FBB21E6"/>
    <w:rsid w:val="61302FC4"/>
    <w:rsid w:val="61CE728A"/>
    <w:rsid w:val="632F0361"/>
    <w:rsid w:val="63A14784"/>
    <w:rsid w:val="63B374D3"/>
    <w:rsid w:val="65390161"/>
    <w:rsid w:val="654B0FFE"/>
    <w:rsid w:val="677E1DA5"/>
    <w:rsid w:val="6A444CC4"/>
    <w:rsid w:val="6ABA535B"/>
    <w:rsid w:val="6ACF7F3C"/>
    <w:rsid w:val="6CCF4085"/>
    <w:rsid w:val="6CF01845"/>
    <w:rsid w:val="6D5C5379"/>
    <w:rsid w:val="6E252AB0"/>
    <w:rsid w:val="6E571B71"/>
    <w:rsid w:val="6E743E20"/>
    <w:rsid w:val="6F4F2F0B"/>
    <w:rsid w:val="6F866465"/>
    <w:rsid w:val="6FA72168"/>
    <w:rsid w:val="7067066B"/>
    <w:rsid w:val="70AA22BB"/>
    <w:rsid w:val="71027343"/>
    <w:rsid w:val="71EF78EA"/>
    <w:rsid w:val="72E242F7"/>
    <w:rsid w:val="73776AD7"/>
    <w:rsid w:val="76A8396C"/>
    <w:rsid w:val="778E6B04"/>
    <w:rsid w:val="77B46162"/>
    <w:rsid w:val="795A46D7"/>
    <w:rsid w:val="79B85118"/>
    <w:rsid w:val="7A37120E"/>
    <w:rsid w:val="7A8827C8"/>
    <w:rsid w:val="7A9A57A7"/>
    <w:rsid w:val="7BAA7470"/>
    <w:rsid w:val="7BD070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6">
    <w:name w:val="heading 2"/>
    <w:basedOn w:val="1"/>
    <w:next w:val="1"/>
    <w:semiHidden/>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7">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8">
    <w:name w:val="heading 4"/>
    <w:basedOn w:val="1"/>
    <w:next w:val="1"/>
    <w:semiHidden/>
    <w:unhideWhenUsed/>
    <w:qFormat/>
    <w:uiPriority w:val="0"/>
    <w:pPr>
      <w:adjustRightInd w:val="0"/>
      <w:spacing w:line="360" w:lineRule="atLeast"/>
      <w:outlineLvl w:val="3"/>
    </w:pPr>
    <w:rPr>
      <w:kern w:val="0"/>
      <w:sz w:val="24"/>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after="120"/>
      <w:ind w:left="420" w:leftChars="200"/>
    </w:pPr>
    <w:rPr>
      <w:szCs w:val="24"/>
    </w:rPr>
  </w:style>
  <w:style w:type="paragraph" w:styleId="4">
    <w:name w:val="envelope return"/>
    <w:basedOn w:val="1"/>
    <w:unhideWhenUsed/>
    <w:qFormat/>
    <w:uiPriority w:val="99"/>
    <w:pPr>
      <w:snapToGrid w:val="0"/>
    </w:pPr>
    <w:rPr>
      <w:rFonts w:ascii="Arial" w:hAnsi="Arial"/>
    </w:rPr>
  </w:style>
  <w:style w:type="paragraph" w:styleId="9">
    <w:name w:val="Normal Indent"/>
    <w:basedOn w:val="1"/>
    <w:qFormat/>
    <w:uiPriority w:val="0"/>
    <w:pPr>
      <w:adjustRightInd w:val="0"/>
      <w:ind w:firstLine="420"/>
      <w:jc w:val="left"/>
      <w:textAlignment w:val="baseline"/>
    </w:pPr>
    <w:rPr>
      <w:rFonts w:eastAsia="楷体_GB2312"/>
      <w:kern w:val="0"/>
      <w:sz w:val="24"/>
    </w:rPr>
  </w:style>
  <w:style w:type="paragraph" w:styleId="10">
    <w:name w:val="Document Map"/>
    <w:basedOn w:val="1"/>
    <w:link w:val="31"/>
    <w:qFormat/>
    <w:uiPriority w:val="0"/>
    <w:rPr>
      <w:rFonts w:ascii="宋体"/>
      <w:sz w:val="18"/>
      <w:szCs w:val="18"/>
    </w:rPr>
  </w:style>
  <w:style w:type="paragraph" w:styleId="11">
    <w:name w:val="annotation text"/>
    <w:basedOn w:val="1"/>
    <w:qFormat/>
    <w:uiPriority w:val="0"/>
    <w:rPr>
      <w:lang w:val="zh-CN"/>
    </w:rPr>
  </w:style>
  <w:style w:type="paragraph" w:styleId="12">
    <w:name w:val="Body Text"/>
    <w:basedOn w:val="1"/>
    <w:qFormat/>
    <w:uiPriority w:val="0"/>
    <w:pPr>
      <w:spacing w:after="120"/>
    </w:p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rPr>
  </w:style>
  <w:style w:type="paragraph" w:styleId="15">
    <w:name w:val="Balloon Text"/>
    <w:basedOn w:val="1"/>
    <w:link w:val="34"/>
    <w:qFormat/>
    <w:uiPriority w:val="0"/>
    <w:rPr>
      <w:sz w:val="18"/>
      <w:szCs w:val="18"/>
    </w:rPr>
  </w:style>
  <w:style w:type="paragraph" w:styleId="16">
    <w:name w:val="footer"/>
    <w:basedOn w:val="1"/>
    <w:qFormat/>
    <w:uiPriority w:val="0"/>
    <w:pPr>
      <w:tabs>
        <w:tab w:val="center" w:pos="4153"/>
        <w:tab w:val="right" w:pos="8306"/>
      </w:tabs>
      <w:snapToGrid w:val="0"/>
      <w:jc w:val="left"/>
    </w:pPr>
    <w:rPr>
      <w:kern w:val="0"/>
      <w:sz w:val="18"/>
      <w:szCs w:val="18"/>
    </w:rPr>
  </w:style>
  <w:style w:type="paragraph" w:styleId="17">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adjustRightInd w:val="0"/>
      <w:jc w:val="left"/>
      <w:textAlignment w:val="baseline"/>
    </w:pPr>
    <w:rPr>
      <w:rFonts w:eastAsia="楷体_GB2312"/>
      <w:sz w:val="24"/>
    </w:rPr>
  </w:style>
  <w:style w:type="paragraph" w:styleId="19">
    <w:name w:val="Normal (Web)"/>
    <w:basedOn w:val="1"/>
    <w:qFormat/>
    <w:uiPriority w:val="0"/>
    <w:pPr>
      <w:widowControl/>
      <w:spacing w:beforeAutospacing="1" w:afterAutospacing="1"/>
      <w:jc w:val="left"/>
    </w:pPr>
    <w:rPr>
      <w:rFonts w:ascii="宋体" w:hAnsi="宋体"/>
      <w:kern w:val="0"/>
      <w:sz w:val="24"/>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basedOn w:val="22"/>
    <w:qFormat/>
    <w:uiPriority w:val="0"/>
  </w:style>
  <w:style w:type="character" w:styleId="25">
    <w:name w:val="Emphasis"/>
    <w:qFormat/>
    <w:uiPriority w:val="0"/>
    <w:rPr>
      <w:i/>
    </w:rPr>
  </w:style>
  <w:style w:type="character" w:styleId="26">
    <w:name w:val="Hyperlink"/>
    <w:basedOn w:val="22"/>
    <w:qFormat/>
    <w:uiPriority w:val="0"/>
    <w:rPr>
      <w:color w:val="333333"/>
      <w:u w:val="none"/>
    </w:rPr>
  </w:style>
  <w:style w:type="paragraph" w:customStyle="1" w:styleId="27">
    <w:name w:val="正文1"/>
    <w:basedOn w:val="1"/>
    <w:qFormat/>
    <w:uiPriority w:val="0"/>
    <w:pPr>
      <w:spacing w:line="360" w:lineRule="auto"/>
      <w:ind w:firstLine="361"/>
    </w:pPr>
    <w:rPr>
      <w:rFonts w:ascii="宋体" w:hAnsi="宋体"/>
      <w:szCs w:val="24"/>
    </w:rPr>
  </w:style>
  <w:style w:type="paragraph" w:styleId="28">
    <w:name w:val="No Spacing"/>
    <w:basedOn w:val="1"/>
    <w:qFormat/>
    <w:uiPriority w:val="99"/>
    <w:pPr>
      <w:ind w:firstLine="200" w:firstLineChars="200"/>
      <w:contextualSpacing/>
    </w:pPr>
    <w:rPr>
      <w:rFonts w:ascii="Calibri" w:hAnsi="Calibri" w:eastAsia="仿宋_GB2312" w:cs="宋体"/>
      <w:sz w:val="28"/>
      <w:szCs w:val="28"/>
    </w:rPr>
  </w:style>
  <w:style w:type="paragraph" w:styleId="29">
    <w:name w:val="List Paragraph"/>
    <w:basedOn w:val="1"/>
    <w:qFormat/>
    <w:uiPriority w:val="99"/>
    <w:pPr>
      <w:ind w:firstLine="420" w:firstLineChars="200"/>
    </w:pPr>
    <w:rPr>
      <w:szCs w:val="24"/>
    </w:rPr>
  </w:style>
  <w:style w:type="paragraph" w:customStyle="1" w:styleId="30">
    <w:name w:val="Char Char Char Char"/>
    <w:basedOn w:val="1"/>
    <w:qFormat/>
    <w:uiPriority w:val="0"/>
    <w:rPr>
      <w:szCs w:val="20"/>
    </w:rPr>
  </w:style>
  <w:style w:type="character" w:customStyle="1" w:styleId="31">
    <w:name w:val="文档结构图 Char"/>
    <w:basedOn w:val="22"/>
    <w:link w:val="10"/>
    <w:qFormat/>
    <w:uiPriority w:val="0"/>
    <w:rPr>
      <w:rFonts w:ascii="宋体" w:hAnsi="Times New Roman" w:eastAsia="宋体" w:cs="Times New Roman"/>
      <w:kern w:val="2"/>
      <w:sz w:val="18"/>
      <w:szCs w:val="18"/>
    </w:rPr>
  </w:style>
  <w:style w:type="character" w:customStyle="1" w:styleId="32">
    <w:name w:val="页眉 Char"/>
    <w:basedOn w:val="22"/>
    <w:link w:val="17"/>
    <w:qFormat/>
    <w:uiPriority w:val="0"/>
    <w:rPr>
      <w:rFonts w:ascii="Times New Roman" w:hAnsi="Times New Roman" w:eastAsia="宋体" w:cs="Times New Roman"/>
      <w:kern w:val="2"/>
      <w:sz w:val="18"/>
      <w:szCs w:val="18"/>
    </w:rPr>
  </w:style>
  <w:style w:type="character" w:customStyle="1" w:styleId="33">
    <w:name w:val="font11"/>
    <w:qFormat/>
    <w:uiPriority w:val="0"/>
    <w:rPr>
      <w:rFonts w:hint="eastAsia" w:ascii="宋体" w:hAnsi="宋体" w:eastAsia="宋体" w:cs="宋体"/>
      <w:color w:val="000000"/>
      <w:sz w:val="20"/>
      <w:szCs w:val="20"/>
      <w:u w:val="none"/>
    </w:rPr>
  </w:style>
  <w:style w:type="character" w:customStyle="1" w:styleId="34">
    <w:name w:val="批注框文本 Char"/>
    <w:basedOn w:val="22"/>
    <w:link w:val="1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FFE6A-B5F0-4F15-ABE6-8227CC2C99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4291</Words>
  <Characters>24460</Characters>
  <Lines>203</Lines>
  <Paragraphs>57</Paragraphs>
  <TotalTime>1</TotalTime>
  <ScaleCrop>false</ScaleCrop>
  <LinksUpToDate>false</LinksUpToDate>
  <CharactersWithSpaces>28694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2018-12-17T05:48:00Z</dcterms:created>
  <dc:creator>缘扬1411018323</dc:creator>
  <cp:lastModifiedBy>Administrator</cp:lastModifiedBy>
  <cp:lastPrinted>2018-04-17T09:29:00Z</cp:lastPrinted>
  <dcterms:modified xsi:type="dcterms:W3CDTF">2020-11-19T08:02:45Z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