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63" w:rsidRDefault="0004610D">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r>
        <w:rPr>
          <w:rFonts w:ascii="宋体" w:eastAsia="宋体" w:hAnsi="宋体" w:cs="宋体" w:hint="eastAsia"/>
          <w:w w:val="80"/>
          <w:szCs w:val="44"/>
        </w:rPr>
        <w:t>附件：</w:t>
      </w:r>
      <w:bookmarkStart w:id="0" w:name="_GoBack"/>
      <w:bookmarkEnd w:id="0"/>
      <w:r>
        <w:rPr>
          <w:rFonts w:ascii="宋体" w:eastAsia="宋体" w:hAnsi="宋体" w:cs="宋体" w:hint="eastAsia"/>
          <w:w w:val="80"/>
          <w:szCs w:val="44"/>
        </w:rPr>
        <w:t>项目需求</w:t>
      </w:r>
    </w:p>
    <w:p w:rsidR="00EE1863" w:rsidRDefault="0004610D">
      <w:pPr>
        <w:spacing w:line="360" w:lineRule="auto"/>
        <w:jc w:val="left"/>
        <w:rPr>
          <w:rFonts w:ascii="宋体" w:hAnsi="宋体" w:cs="宋体"/>
          <w:b/>
          <w:bCs/>
          <w:sz w:val="24"/>
          <w:szCs w:val="24"/>
        </w:rPr>
      </w:pPr>
      <w:r>
        <w:rPr>
          <w:rFonts w:ascii="宋体" w:hAnsi="宋体" w:cs="宋体" w:hint="eastAsia"/>
          <w:b/>
          <w:bCs/>
          <w:sz w:val="24"/>
          <w:szCs w:val="24"/>
        </w:rPr>
        <w:t>一、系统概述</w:t>
      </w:r>
    </w:p>
    <w:p w:rsidR="00EE1863" w:rsidRDefault="00BE5FD3">
      <w:pPr>
        <w:spacing w:line="360" w:lineRule="auto"/>
        <w:ind w:firstLine="585"/>
        <w:jc w:val="left"/>
        <w:rPr>
          <w:rFonts w:ascii="宋体" w:hAnsi="宋体" w:cs="宋体"/>
          <w:sz w:val="24"/>
          <w:szCs w:val="24"/>
        </w:rPr>
      </w:pPr>
      <w:r>
        <w:rPr>
          <w:rFonts w:ascii="宋体" w:hAnsi="宋体" w:cs="宋体" w:hint="eastAsia"/>
          <w:sz w:val="24"/>
          <w:szCs w:val="24"/>
        </w:rPr>
        <w:t>根据</w:t>
      </w:r>
      <w:r w:rsidR="0004610D">
        <w:rPr>
          <w:rFonts w:ascii="宋体" w:hAnsi="宋体" w:cs="宋体" w:hint="eastAsia"/>
          <w:sz w:val="24"/>
          <w:szCs w:val="24"/>
        </w:rPr>
        <w:t>落实《关于对危险驾驶犯罪联合惩戒实施办法》的要求，将被不起诉人纳入个人信用管理，由检察机关在市政务信息资源交换平台录入相关信息，并上传对被不起诉人告知书，中国人</w:t>
      </w:r>
      <w:r w:rsidR="00011470">
        <w:rPr>
          <w:rFonts w:ascii="宋体" w:hAnsi="宋体" w:cs="宋体" w:hint="eastAsia"/>
          <w:sz w:val="24"/>
          <w:szCs w:val="24"/>
        </w:rPr>
        <w:t>民银行南通市中心支行等单位通过该平台获取相关信息。信用信息记录</w:t>
      </w:r>
      <w:r w:rsidR="0004610D">
        <w:rPr>
          <w:rFonts w:ascii="宋体" w:hAnsi="宋体" w:cs="宋体" w:hint="eastAsia"/>
          <w:sz w:val="24"/>
          <w:szCs w:val="24"/>
        </w:rPr>
        <w:t>有效期为一年，被不起诉人可以在交通失信行为认定六个月后，向市检察院作出信用承诺和申请信用修复。市检察院审核同意信用修复后，及时向市公共信用信息中心移送被不起诉人的信用承诺信息和修复决定书。</w:t>
      </w:r>
    </w:p>
    <w:p w:rsidR="00EE1863" w:rsidRPr="00354702" w:rsidRDefault="0004610D">
      <w:pPr>
        <w:spacing w:line="360" w:lineRule="auto"/>
        <w:jc w:val="left"/>
        <w:rPr>
          <w:rFonts w:ascii="宋体" w:hAnsi="宋体" w:cs="宋体"/>
          <w:b/>
          <w:bCs/>
          <w:sz w:val="24"/>
          <w:szCs w:val="24"/>
        </w:rPr>
      </w:pPr>
      <w:r>
        <w:rPr>
          <w:rFonts w:ascii="宋体" w:hAnsi="宋体" w:cs="宋体" w:hint="eastAsia"/>
          <w:b/>
          <w:bCs/>
          <w:sz w:val="24"/>
          <w:szCs w:val="24"/>
        </w:rPr>
        <w:t>二、系统功能要求</w:t>
      </w:r>
    </w:p>
    <w:p w:rsidR="00EE1863" w:rsidRDefault="0004610D">
      <w:pPr>
        <w:spacing w:line="360" w:lineRule="auto"/>
        <w:jc w:val="left"/>
        <w:rPr>
          <w:rFonts w:ascii="宋体" w:hAnsi="宋体" w:cs="宋体"/>
          <w:sz w:val="24"/>
          <w:szCs w:val="24"/>
        </w:rPr>
      </w:pPr>
      <w:r>
        <w:rPr>
          <w:rFonts w:ascii="宋体" w:hAnsi="宋体" w:cs="宋体" w:hint="eastAsia"/>
          <w:sz w:val="24"/>
          <w:szCs w:val="24"/>
        </w:rPr>
        <w:tab/>
        <w:t>1、在市院电子政务外网建设B/S架构的“联合惩戒信息报送系统”，供两级院使用，基层院通过该系统将“联合惩戒”的案件信息（含附件）上报至市院第一检察部。</w:t>
      </w:r>
    </w:p>
    <w:p w:rsidR="00EE1863" w:rsidRDefault="0004610D">
      <w:pPr>
        <w:spacing w:line="360" w:lineRule="auto"/>
        <w:jc w:val="left"/>
        <w:rPr>
          <w:rFonts w:ascii="宋体" w:hAnsi="宋体" w:cs="宋体"/>
          <w:sz w:val="24"/>
          <w:szCs w:val="24"/>
        </w:rPr>
      </w:pPr>
      <w:r>
        <w:rPr>
          <w:rFonts w:ascii="宋体" w:hAnsi="宋体" w:cs="宋体" w:hint="eastAsia"/>
          <w:sz w:val="24"/>
          <w:szCs w:val="24"/>
        </w:rPr>
        <w:tab/>
        <w:t>2、市院第一检察部录入市院办理的“联合惩戒”的案件信息（含附件），并接受基层院上报的案件信息（含附件），经第一检察部专人审核后向“市政务信息资源交换平台”报送数据。</w:t>
      </w:r>
    </w:p>
    <w:p w:rsidR="00EE1863" w:rsidRDefault="0004610D">
      <w:pPr>
        <w:spacing w:line="360" w:lineRule="auto"/>
        <w:ind w:firstLineChars="200" w:firstLine="480"/>
        <w:jc w:val="left"/>
        <w:rPr>
          <w:rFonts w:ascii="宋体" w:hAnsi="宋体" w:cs="宋体"/>
          <w:sz w:val="24"/>
          <w:szCs w:val="24"/>
        </w:rPr>
      </w:pPr>
      <w:r>
        <w:rPr>
          <w:rFonts w:ascii="宋体" w:hAnsi="宋体" w:cs="宋体" w:hint="eastAsia"/>
          <w:sz w:val="24"/>
          <w:szCs w:val="24"/>
        </w:rPr>
        <w:t>3、向大数据管理局申请“市政务信息资源交换平台”前置虚拟机（</w:t>
      </w:r>
      <w:proofErr w:type="spellStart"/>
      <w:r>
        <w:rPr>
          <w:rFonts w:ascii="宋体" w:hAnsi="宋体" w:cs="宋体" w:hint="eastAsia"/>
          <w:sz w:val="24"/>
          <w:szCs w:val="24"/>
        </w:rPr>
        <w:t>linux</w:t>
      </w:r>
      <w:proofErr w:type="spellEnd"/>
      <w:r>
        <w:rPr>
          <w:rFonts w:ascii="宋体" w:hAnsi="宋体" w:cs="宋体" w:hint="eastAsia"/>
          <w:sz w:val="24"/>
          <w:szCs w:val="24"/>
        </w:rPr>
        <w:t>系统），在该机器上安装</w:t>
      </w:r>
      <w:proofErr w:type="spellStart"/>
      <w:r>
        <w:rPr>
          <w:rFonts w:ascii="宋体" w:hAnsi="宋体" w:cs="宋体" w:hint="eastAsia"/>
          <w:sz w:val="24"/>
          <w:szCs w:val="24"/>
        </w:rPr>
        <w:t>mysql</w:t>
      </w:r>
      <w:proofErr w:type="spellEnd"/>
      <w:r>
        <w:rPr>
          <w:rFonts w:ascii="宋体" w:hAnsi="宋体" w:cs="宋体" w:hint="eastAsia"/>
          <w:sz w:val="24"/>
          <w:szCs w:val="24"/>
        </w:rPr>
        <w:t>数据库，并开发“联合惩戒系统”前置系统程序（</w:t>
      </w:r>
      <w:proofErr w:type="spellStart"/>
      <w:r>
        <w:rPr>
          <w:rFonts w:ascii="宋体" w:hAnsi="宋体" w:cs="宋体" w:hint="eastAsia"/>
          <w:sz w:val="24"/>
          <w:szCs w:val="24"/>
        </w:rPr>
        <w:t>webserver</w:t>
      </w:r>
      <w:proofErr w:type="spellEnd"/>
      <w:r>
        <w:rPr>
          <w:rFonts w:ascii="宋体" w:hAnsi="宋体" w:cs="宋体" w:hint="eastAsia"/>
          <w:sz w:val="24"/>
          <w:szCs w:val="24"/>
        </w:rPr>
        <w:t>或API标准接口程序），用于接收相关案件信息和上传的法律文书附件。</w:t>
      </w:r>
    </w:p>
    <w:p w:rsidR="00EE1863" w:rsidRDefault="0004610D">
      <w:pPr>
        <w:spacing w:line="360" w:lineRule="auto"/>
        <w:ind w:firstLineChars="200" w:firstLine="480"/>
        <w:jc w:val="left"/>
        <w:rPr>
          <w:rFonts w:ascii="宋体" w:hAnsi="宋体" w:cs="宋体"/>
          <w:sz w:val="24"/>
          <w:szCs w:val="24"/>
        </w:rPr>
      </w:pPr>
      <w:r>
        <w:rPr>
          <w:rFonts w:ascii="宋体" w:hAnsi="宋体" w:cs="宋体" w:hint="eastAsia"/>
          <w:sz w:val="24"/>
          <w:szCs w:val="24"/>
        </w:rPr>
        <w:t>4、“联合惩戒信息报送系统”需可查询到已上报到前置系统中的案件信息和附件，对于已同步至“市公共信用信息中心”的数据将不可删除，不可修改。未同步的数据可通过“联合惩戒信息报送系统”进行删除、修改操作。</w:t>
      </w:r>
    </w:p>
    <w:p w:rsidR="00EE1863" w:rsidRDefault="0004610D">
      <w:pPr>
        <w:spacing w:line="360" w:lineRule="auto"/>
        <w:jc w:val="left"/>
        <w:rPr>
          <w:rFonts w:ascii="宋体" w:hAnsi="宋体" w:cs="宋体"/>
          <w:b/>
          <w:bCs/>
          <w:sz w:val="24"/>
          <w:szCs w:val="24"/>
        </w:rPr>
      </w:pPr>
      <w:r>
        <w:rPr>
          <w:rFonts w:ascii="宋体" w:hAnsi="宋体" w:cs="宋体" w:hint="eastAsia"/>
          <w:b/>
          <w:bCs/>
          <w:sz w:val="24"/>
          <w:szCs w:val="24"/>
        </w:rPr>
        <w:t>三、软硬技术要求</w:t>
      </w:r>
    </w:p>
    <w:p w:rsidR="00EE1863" w:rsidRDefault="0004610D">
      <w:pPr>
        <w:spacing w:line="360" w:lineRule="auto"/>
        <w:jc w:val="left"/>
        <w:rPr>
          <w:rFonts w:ascii="宋体" w:hAnsi="宋体" w:cs="宋体"/>
          <w:sz w:val="24"/>
          <w:szCs w:val="24"/>
        </w:rPr>
      </w:pPr>
      <w:r>
        <w:rPr>
          <w:rFonts w:ascii="宋体" w:hAnsi="宋体" w:cs="宋体" w:hint="eastAsia"/>
          <w:sz w:val="24"/>
          <w:szCs w:val="24"/>
        </w:rPr>
        <w:tab/>
        <w:t>1、“联合惩戒信息报送系统”应基于java平台进行开发（需具有跨平台特性），每基层院开一个帐号，具有帐号管理、权限管理、罪名管理（现为危险驾驶犯罪）、案件管理、报送管理、系统设置等。</w:t>
      </w:r>
    </w:p>
    <w:p w:rsidR="00EE1863" w:rsidRDefault="0004610D">
      <w:pPr>
        <w:spacing w:line="360" w:lineRule="auto"/>
        <w:ind w:firstLine="420"/>
        <w:jc w:val="left"/>
        <w:rPr>
          <w:rFonts w:ascii="宋体" w:hAnsi="宋体" w:cs="宋体"/>
          <w:sz w:val="24"/>
          <w:szCs w:val="24"/>
        </w:rPr>
      </w:pPr>
      <w:r>
        <w:rPr>
          <w:rFonts w:ascii="宋体" w:hAnsi="宋体" w:cs="宋体" w:hint="eastAsia"/>
          <w:sz w:val="24"/>
          <w:szCs w:val="24"/>
        </w:rPr>
        <w:t>2、利用市院至各基层院电子政务外网，架设硬件服务器（利旧）</w:t>
      </w:r>
      <w:r w:rsidR="000B55FA">
        <w:rPr>
          <w:rFonts w:ascii="宋体" w:hAnsi="宋体" w:cs="宋体" w:hint="eastAsia"/>
          <w:sz w:val="24"/>
          <w:szCs w:val="24"/>
        </w:rPr>
        <w:t>，安装“联合惩戒信息报送系统”，供两级院上报案件数据。向大数据</w:t>
      </w:r>
      <w:r>
        <w:rPr>
          <w:rFonts w:ascii="宋体" w:hAnsi="宋体" w:cs="宋体" w:hint="eastAsia"/>
          <w:sz w:val="24"/>
          <w:szCs w:val="24"/>
        </w:rPr>
        <w:t>管理局申请虚拟机，安装“联合惩戒信息报送前置系统”。</w:t>
      </w:r>
    </w:p>
    <w:p w:rsidR="00EE1863" w:rsidRDefault="0004610D">
      <w:pPr>
        <w:spacing w:line="360" w:lineRule="auto"/>
        <w:ind w:firstLine="420"/>
        <w:jc w:val="left"/>
        <w:rPr>
          <w:rFonts w:ascii="宋体" w:hAnsi="宋体" w:cs="宋体"/>
          <w:sz w:val="24"/>
          <w:szCs w:val="24"/>
        </w:rPr>
      </w:pPr>
      <w:r>
        <w:rPr>
          <w:rFonts w:ascii="宋体" w:hAnsi="宋体" w:cs="宋体" w:hint="eastAsia"/>
          <w:sz w:val="24"/>
          <w:szCs w:val="24"/>
        </w:rPr>
        <w:lastRenderedPageBreak/>
        <w:t>3、初步调研的操作时序图如下：</w:t>
      </w:r>
    </w:p>
    <w:p w:rsidR="00EE1863" w:rsidRDefault="0004610D">
      <w:pPr>
        <w:spacing w:line="360" w:lineRule="auto"/>
        <w:ind w:firstLine="420"/>
        <w:jc w:val="left"/>
        <w:rPr>
          <w:rFonts w:ascii="宋体" w:hAnsi="宋体" w:cs="宋体"/>
          <w:sz w:val="24"/>
          <w:szCs w:val="24"/>
        </w:rPr>
      </w:pPr>
      <w:r>
        <w:rPr>
          <w:rFonts w:ascii="宋体" w:hAnsi="宋体" w:cs="宋体" w:hint="eastAsia"/>
          <w:noProof/>
          <w:sz w:val="24"/>
          <w:szCs w:val="24"/>
        </w:rPr>
        <w:drawing>
          <wp:inline distT="0" distB="0" distL="114300" distR="114300">
            <wp:extent cx="5274310" cy="33712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3371215"/>
                    </a:xfrm>
                    <a:prstGeom prst="rect">
                      <a:avLst/>
                    </a:prstGeom>
                    <a:noFill/>
                    <a:ln>
                      <a:noFill/>
                    </a:ln>
                  </pic:spPr>
                </pic:pic>
              </a:graphicData>
            </a:graphic>
          </wp:inline>
        </w:drawing>
      </w:r>
    </w:p>
    <w:p w:rsidR="00EE1863" w:rsidRDefault="0004610D">
      <w:pPr>
        <w:spacing w:line="360" w:lineRule="auto"/>
        <w:ind w:firstLine="420"/>
        <w:jc w:val="left"/>
        <w:rPr>
          <w:rFonts w:ascii="宋体" w:hAnsi="宋体" w:cs="宋体"/>
          <w:sz w:val="24"/>
          <w:szCs w:val="24"/>
        </w:rPr>
      </w:pPr>
      <w:r>
        <w:rPr>
          <w:rFonts w:ascii="宋体" w:hAnsi="宋体" w:cs="宋体" w:hint="eastAsia"/>
          <w:sz w:val="24"/>
          <w:szCs w:val="24"/>
        </w:rPr>
        <w:t>投标人技术方案初步可按上图进行设计，中标后需进行系统设计调研，以最后确定的操作时序图为准。</w:t>
      </w:r>
    </w:p>
    <w:p w:rsidR="00EE1863" w:rsidRDefault="00EE1863">
      <w:pPr>
        <w:spacing w:line="360" w:lineRule="auto"/>
        <w:ind w:firstLine="420"/>
        <w:jc w:val="left"/>
        <w:rPr>
          <w:rFonts w:ascii="宋体" w:hAnsi="宋体" w:cs="宋体"/>
          <w:sz w:val="24"/>
          <w:szCs w:val="24"/>
        </w:rPr>
      </w:pPr>
    </w:p>
    <w:p w:rsidR="00EE1863" w:rsidRDefault="0004610D">
      <w:pPr>
        <w:spacing w:line="360" w:lineRule="auto"/>
        <w:jc w:val="left"/>
        <w:rPr>
          <w:rFonts w:ascii="宋体" w:hAnsi="宋体" w:cs="宋体"/>
          <w:b/>
          <w:bCs/>
          <w:sz w:val="24"/>
          <w:szCs w:val="24"/>
        </w:rPr>
      </w:pPr>
      <w:r>
        <w:rPr>
          <w:rFonts w:ascii="宋体" w:hAnsi="宋体" w:cs="宋体" w:hint="eastAsia"/>
          <w:b/>
          <w:bCs/>
          <w:sz w:val="24"/>
          <w:szCs w:val="24"/>
        </w:rPr>
        <w:t>四、软件清单</w:t>
      </w:r>
    </w:p>
    <w:tbl>
      <w:tblPr>
        <w:tblStyle w:val="a4"/>
        <w:tblW w:w="0" w:type="auto"/>
        <w:jc w:val="center"/>
        <w:tblLook w:val="04A0"/>
      </w:tblPr>
      <w:tblGrid>
        <w:gridCol w:w="933"/>
        <w:gridCol w:w="3288"/>
        <w:gridCol w:w="3950"/>
      </w:tblGrid>
      <w:tr w:rsidR="00EE1863">
        <w:trPr>
          <w:jc w:val="center"/>
        </w:trPr>
        <w:tc>
          <w:tcPr>
            <w:tcW w:w="933"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序号</w:t>
            </w:r>
          </w:p>
        </w:tc>
        <w:tc>
          <w:tcPr>
            <w:tcW w:w="3288"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软件名称</w:t>
            </w:r>
          </w:p>
        </w:tc>
        <w:tc>
          <w:tcPr>
            <w:tcW w:w="3950"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技术要求</w:t>
            </w:r>
          </w:p>
        </w:tc>
      </w:tr>
      <w:tr w:rsidR="00EE1863">
        <w:trPr>
          <w:jc w:val="center"/>
        </w:trPr>
        <w:tc>
          <w:tcPr>
            <w:tcW w:w="933"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1</w:t>
            </w:r>
          </w:p>
        </w:tc>
        <w:tc>
          <w:tcPr>
            <w:tcW w:w="3288"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联合惩戒信息报送系统</w:t>
            </w:r>
          </w:p>
        </w:tc>
        <w:tc>
          <w:tcPr>
            <w:tcW w:w="3950" w:type="dxa"/>
            <w:noWrap/>
            <w:vAlign w:val="center"/>
          </w:tcPr>
          <w:p w:rsidR="00EE1863" w:rsidRDefault="0004610D">
            <w:pPr>
              <w:spacing w:line="360" w:lineRule="auto"/>
              <w:jc w:val="left"/>
              <w:rPr>
                <w:rFonts w:ascii="宋体" w:hAnsi="宋体" w:cs="宋体"/>
                <w:sz w:val="24"/>
                <w:szCs w:val="24"/>
              </w:rPr>
            </w:pPr>
            <w:r>
              <w:rPr>
                <w:rFonts w:ascii="宋体" w:hAnsi="宋体" w:cs="宋体" w:hint="eastAsia"/>
                <w:sz w:val="24"/>
                <w:szCs w:val="24"/>
              </w:rPr>
              <w:t>1.JAVA开发平台</w:t>
            </w:r>
          </w:p>
          <w:p w:rsidR="00EE1863" w:rsidRDefault="0004610D">
            <w:pPr>
              <w:spacing w:line="360" w:lineRule="auto"/>
              <w:jc w:val="left"/>
              <w:rPr>
                <w:rFonts w:ascii="宋体" w:hAnsi="宋体" w:cs="宋体"/>
                <w:sz w:val="24"/>
                <w:szCs w:val="24"/>
              </w:rPr>
            </w:pPr>
            <w:r>
              <w:rPr>
                <w:rFonts w:ascii="宋体" w:hAnsi="宋体" w:cs="宋体" w:hint="eastAsia"/>
                <w:sz w:val="24"/>
                <w:szCs w:val="24"/>
              </w:rPr>
              <w:t>2.需进行实施前调研，达到第一检察部使用。</w:t>
            </w:r>
          </w:p>
        </w:tc>
      </w:tr>
      <w:tr w:rsidR="00EE1863">
        <w:trPr>
          <w:jc w:val="center"/>
        </w:trPr>
        <w:tc>
          <w:tcPr>
            <w:tcW w:w="933"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2</w:t>
            </w:r>
          </w:p>
        </w:tc>
        <w:tc>
          <w:tcPr>
            <w:tcW w:w="3288" w:type="dxa"/>
            <w:noWrap/>
            <w:vAlign w:val="center"/>
          </w:tcPr>
          <w:p w:rsidR="00EE1863" w:rsidRDefault="0004610D">
            <w:pPr>
              <w:spacing w:line="360" w:lineRule="auto"/>
              <w:jc w:val="center"/>
              <w:rPr>
                <w:rFonts w:ascii="宋体" w:hAnsi="宋体" w:cs="宋体"/>
                <w:sz w:val="24"/>
                <w:szCs w:val="24"/>
              </w:rPr>
            </w:pPr>
            <w:r>
              <w:rPr>
                <w:rFonts w:ascii="宋体" w:hAnsi="宋体" w:cs="宋体" w:hint="eastAsia"/>
                <w:sz w:val="24"/>
                <w:szCs w:val="24"/>
              </w:rPr>
              <w:t>联合惩戒信息报送前置系统</w:t>
            </w:r>
          </w:p>
        </w:tc>
        <w:tc>
          <w:tcPr>
            <w:tcW w:w="3950" w:type="dxa"/>
            <w:noWrap/>
            <w:vAlign w:val="center"/>
          </w:tcPr>
          <w:p w:rsidR="00EE1863" w:rsidRDefault="0004610D">
            <w:pPr>
              <w:spacing w:line="360" w:lineRule="auto"/>
              <w:jc w:val="left"/>
              <w:rPr>
                <w:rFonts w:ascii="宋体" w:hAnsi="宋体" w:cs="宋体"/>
                <w:sz w:val="24"/>
                <w:szCs w:val="24"/>
              </w:rPr>
            </w:pPr>
            <w:r>
              <w:rPr>
                <w:rFonts w:ascii="宋体" w:hAnsi="宋体" w:cs="宋体" w:hint="eastAsia"/>
                <w:sz w:val="24"/>
                <w:szCs w:val="24"/>
              </w:rPr>
              <w:t>1.java开发平台</w:t>
            </w:r>
          </w:p>
          <w:p w:rsidR="00EE1863" w:rsidRDefault="0004610D">
            <w:pPr>
              <w:spacing w:line="360" w:lineRule="auto"/>
              <w:jc w:val="left"/>
              <w:rPr>
                <w:rFonts w:ascii="宋体" w:hAnsi="宋体" w:cs="宋体"/>
                <w:sz w:val="24"/>
                <w:szCs w:val="24"/>
              </w:rPr>
            </w:pPr>
            <w:r>
              <w:rPr>
                <w:rFonts w:ascii="宋体" w:hAnsi="宋体" w:cs="宋体" w:hint="eastAsia"/>
                <w:sz w:val="24"/>
                <w:szCs w:val="24"/>
              </w:rPr>
              <w:t>2.标准</w:t>
            </w:r>
            <w:proofErr w:type="spellStart"/>
            <w:r>
              <w:rPr>
                <w:rFonts w:ascii="宋体" w:hAnsi="宋体" w:cs="宋体" w:hint="eastAsia"/>
                <w:sz w:val="24"/>
                <w:szCs w:val="24"/>
              </w:rPr>
              <w:t>Webserver</w:t>
            </w:r>
            <w:proofErr w:type="spellEnd"/>
            <w:r>
              <w:rPr>
                <w:rFonts w:ascii="宋体" w:hAnsi="宋体" w:cs="宋体" w:hint="eastAsia"/>
                <w:sz w:val="24"/>
                <w:szCs w:val="24"/>
              </w:rPr>
              <w:t>接口</w:t>
            </w:r>
          </w:p>
          <w:p w:rsidR="00EE1863" w:rsidRDefault="0066405C">
            <w:pPr>
              <w:spacing w:line="360" w:lineRule="auto"/>
              <w:jc w:val="left"/>
              <w:rPr>
                <w:rFonts w:ascii="宋体" w:hAnsi="宋体" w:cs="宋体"/>
                <w:sz w:val="24"/>
                <w:szCs w:val="24"/>
              </w:rPr>
            </w:pPr>
            <w:r>
              <w:rPr>
                <w:rFonts w:ascii="宋体" w:hAnsi="宋体" w:cs="宋体" w:hint="eastAsia"/>
                <w:sz w:val="24"/>
                <w:szCs w:val="24"/>
              </w:rPr>
              <w:t>3.</w:t>
            </w:r>
            <w:r w:rsidR="0004610D">
              <w:rPr>
                <w:rFonts w:ascii="宋体" w:hAnsi="宋体" w:cs="宋体" w:hint="eastAsia"/>
                <w:sz w:val="24"/>
                <w:szCs w:val="24"/>
              </w:rPr>
              <w:t>需进行实施前调研，达到市政务信息资源交换平台的技术要求。</w:t>
            </w:r>
          </w:p>
        </w:tc>
      </w:tr>
    </w:tbl>
    <w:p w:rsidR="00EE1863" w:rsidRDefault="00EE1863">
      <w:pPr>
        <w:spacing w:line="360" w:lineRule="auto"/>
        <w:jc w:val="left"/>
        <w:rPr>
          <w:rFonts w:ascii="宋体" w:hAnsi="宋体" w:cs="宋体"/>
          <w:b/>
          <w:bCs/>
          <w:sz w:val="24"/>
          <w:szCs w:val="24"/>
        </w:rPr>
      </w:pPr>
    </w:p>
    <w:p w:rsidR="00EE1863" w:rsidRDefault="0004610D">
      <w:pPr>
        <w:spacing w:line="360" w:lineRule="auto"/>
        <w:jc w:val="left"/>
        <w:rPr>
          <w:rFonts w:ascii="宋体" w:hAnsi="宋体" w:cs="宋体"/>
          <w:b/>
          <w:bCs/>
          <w:sz w:val="24"/>
          <w:szCs w:val="24"/>
        </w:rPr>
      </w:pPr>
      <w:r>
        <w:rPr>
          <w:rFonts w:ascii="宋体" w:hAnsi="宋体" w:cs="宋体" w:hint="eastAsia"/>
          <w:b/>
          <w:bCs/>
          <w:sz w:val="24"/>
          <w:szCs w:val="24"/>
        </w:rPr>
        <w:t>六、其它要求</w:t>
      </w:r>
    </w:p>
    <w:p w:rsidR="00EE1863" w:rsidRDefault="0004610D">
      <w:pPr>
        <w:pStyle w:val="Body"/>
        <w:ind w:left="0"/>
        <w:rPr>
          <w:lang w:eastAsia="zh-CN"/>
        </w:rPr>
      </w:pPr>
      <w:r>
        <w:rPr>
          <w:rFonts w:hint="eastAsia"/>
          <w:lang w:eastAsia="zh-CN"/>
        </w:rPr>
        <w:t>1</w:t>
      </w:r>
      <w:r>
        <w:rPr>
          <w:rFonts w:hint="eastAsia"/>
          <w:lang w:eastAsia="zh-CN"/>
        </w:rPr>
        <w:t>、本项目质保期：</w:t>
      </w:r>
      <w:r>
        <w:rPr>
          <w:rFonts w:hint="eastAsia"/>
          <w:lang w:eastAsia="zh-CN"/>
        </w:rPr>
        <w:t>3</w:t>
      </w:r>
      <w:r w:rsidR="00FE2F93">
        <w:rPr>
          <w:rFonts w:hint="eastAsia"/>
          <w:lang w:eastAsia="zh-CN"/>
        </w:rPr>
        <w:t>年，从项目终验</w:t>
      </w:r>
      <w:r>
        <w:rPr>
          <w:rFonts w:hint="eastAsia"/>
          <w:lang w:eastAsia="zh-CN"/>
        </w:rPr>
        <w:t>合格</w:t>
      </w:r>
      <w:r>
        <w:rPr>
          <w:rFonts w:hint="eastAsia"/>
          <w:kern w:val="2"/>
          <w:lang w:eastAsia="zh-CN"/>
        </w:rPr>
        <w:t>之日</w:t>
      </w:r>
      <w:r>
        <w:rPr>
          <w:rFonts w:hint="eastAsia"/>
          <w:lang w:eastAsia="zh-CN"/>
        </w:rPr>
        <w:t>开始计算。</w:t>
      </w:r>
    </w:p>
    <w:p w:rsidR="00EE1863" w:rsidRDefault="0004610D">
      <w:pPr>
        <w:pStyle w:val="Body"/>
        <w:ind w:left="0"/>
        <w:rPr>
          <w:lang w:eastAsia="zh-CN"/>
        </w:rPr>
      </w:pPr>
      <w:r>
        <w:rPr>
          <w:rFonts w:hint="eastAsia"/>
          <w:lang w:eastAsia="zh-CN"/>
        </w:rPr>
        <w:t>2</w:t>
      </w:r>
      <w:r>
        <w:rPr>
          <w:rFonts w:hint="eastAsia"/>
          <w:lang w:eastAsia="zh-CN"/>
        </w:rPr>
        <w:t>、项目施工期：</w:t>
      </w:r>
      <w:r>
        <w:rPr>
          <w:lang w:eastAsia="zh-CN"/>
        </w:rPr>
        <w:t>30</w:t>
      </w:r>
      <w:r>
        <w:rPr>
          <w:rFonts w:hint="eastAsia"/>
          <w:lang w:eastAsia="zh-CN"/>
        </w:rPr>
        <w:t>天。</w:t>
      </w:r>
    </w:p>
    <w:p w:rsidR="00EE1863" w:rsidRDefault="0004610D">
      <w:pPr>
        <w:pStyle w:val="Body"/>
        <w:ind w:left="0"/>
        <w:rPr>
          <w:lang w:eastAsia="zh-CN"/>
        </w:rPr>
      </w:pPr>
      <w:r>
        <w:rPr>
          <w:rFonts w:hint="eastAsia"/>
          <w:lang w:eastAsia="zh-CN"/>
        </w:rPr>
        <w:lastRenderedPageBreak/>
        <w:t>3</w:t>
      </w:r>
      <w:r>
        <w:rPr>
          <w:rFonts w:hint="eastAsia"/>
          <w:lang w:eastAsia="zh-CN"/>
        </w:rPr>
        <w:t>、付款方式：项目验收合格后支付</w:t>
      </w:r>
      <w:r>
        <w:rPr>
          <w:rFonts w:hint="eastAsia"/>
          <w:lang w:eastAsia="zh-CN"/>
        </w:rPr>
        <w:t>1</w:t>
      </w:r>
      <w:r>
        <w:rPr>
          <w:lang w:eastAsia="zh-CN"/>
        </w:rPr>
        <w:t>00%</w:t>
      </w:r>
      <w:r>
        <w:rPr>
          <w:rFonts w:hint="eastAsia"/>
          <w:lang w:eastAsia="zh-CN"/>
        </w:rPr>
        <w:t>。</w:t>
      </w:r>
    </w:p>
    <w:p w:rsidR="00EE1863" w:rsidRDefault="0004610D">
      <w:pPr>
        <w:pStyle w:val="Body"/>
        <w:ind w:left="0"/>
        <w:rPr>
          <w:lang w:eastAsia="zh-CN"/>
        </w:rPr>
      </w:pPr>
      <w:r>
        <w:rPr>
          <w:rFonts w:hint="eastAsia"/>
          <w:lang w:eastAsia="zh-CN"/>
        </w:rPr>
        <w:t>4</w:t>
      </w:r>
      <w:r>
        <w:rPr>
          <w:rFonts w:hint="eastAsia"/>
          <w:lang w:eastAsia="zh-CN"/>
        </w:rPr>
        <w:t>、</w:t>
      </w:r>
      <w:r>
        <w:rPr>
          <w:rFonts w:hAnsi="宋体" w:cs="宋体" w:hint="eastAsia"/>
          <w:lang w:eastAsia="zh-CN"/>
        </w:rPr>
        <w:t>投标供应商需承诺本项目中标后和江苏省南通市人民检察院共同申请软件著作权，并提供源代码及开发文档给采购人</w:t>
      </w:r>
      <w:r>
        <w:rPr>
          <w:rFonts w:hAnsi="宋体" w:cs="宋体" w:hint="eastAsia"/>
          <w:lang w:val="zh-CN" w:eastAsia="zh-CN"/>
        </w:rPr>
        <w:t>。</w:t>
      </w:r>
    </w:p>
    <w:p w:rsidR="00EE1863" w:rsidRDefault="00EE1863">
      <w:pPr>
        <w:pStyle w:val="Body"/>
        <w:ind w:left="0"/>
        <w:rPr>
          <w:lang w:eastAsia="zh-CN"/>
        </w:rPr>
      </w:pPr>
    </w:p>
    <w:p w:rsidR="00EE1863" w:rsidRDefault="00EE1863"/>
    <w:sectPr w:rsidR="00EE1863" w:rsidSect="00EE1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10D" w:rsidRDefault="0004610D" w:rsidP="00011470">
      <w:r>
        <w:separator/>
      </w:r>
    </w:p>
  </w:endnote>
  <w:endnote w:type="continuationSeparator" w:id="1">
    <w:p w:rsidR="0004610D" w:rsidRDefault="0004610D" w:rsidP="00011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10D" w:rsidRDefault="0004610D" w:rsidP="00011470">
      <w:r>
        <w:separator/>
      </w:r>
    </w:p>
  </w:footnote>
  <w:footnote w:type="continuationSeparator" w:id="1">
    <w:p w:rsidR="0004610D" w:rsidRDefault="0004610D" w:rsidP="00011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7B042C"/>
    <w:rsid w:val="00011470"/>
    <w:rsid w:val="0004610D"/>
    <w:rsid w:val="000B55FA"/>
    <w:rsid w:val="001F49ED"/>
    <w:rsid w:val="00354702"/>
    <w:rsid w:val="0066405C"/>
    <w:rsid w:val="008D26F2"/>
    <w:rsid w:val="008D54AB"/>
    <w:rsid w:val="00B55238"/>
    <w:rsid w:val="00B72B8E"/>
    <w:rsid w:val="00BE5FD3"/>
    <w:rsid w:val="00BF46D8"/>
    <w:rsid w:val="00CD4D99"/>
    <w:rsid w:val="00D22679"/>
    <w:rsid w:val="00EE1863"/>
    <w:rsid w:val="00F349CC"/>
    <w:rsid w:val="00FE2F93"/>
    <w:rsid w:val="357B04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EE1863"/>
    <w:pPr>
      <w:widowControl w:val="0"/>
      <w:jc w:val="both"/>
    </w:pPr>
    <w:rPr>
      <w:kern w:val="2"/>
      <w:sz w:val="21"/>
    </w:rPr>
  </w:style>
  <w:style w:type="paragraph" w:styleId="1">
    <w:name w:val="heading 1"/>
    <w:basedOn w:val="a"/>
    <w:next w:val="a"/>
    <w:qFormat/>
    <w:rsid w:val="00EE1863"/>
    <w:pPr>
      <w:keepNext/>
      <w:keepLines/>
      <w:spacing w:before="340" w:after="330" w:line="578" w:lineRule="auto"/>
      <w:outlineLvl w:val="0"/>
    </w:pPr>
    <w:rPr>
      <w:rFonts w:ascii="Times New Roman" w:eastAsia="楷体_GB2312"/>
      <w:b/>
      <w:kern w:val="44"/>
      <w:sz w:val="44"/>
    </w:rPr>
  </w:style>
  <w:style w:type="paragraph" w:styleId="4">
    <w:name w:val="heading 4"/>
    <w:basedOn w:val="a"/>
    <w:next w:val="a"/>
    <w:qFormat/>
    <w:rsid w:val="00EE1863"/>
    <w:pPr>
      <w:keepNext/>
      <w:keepLines/>
      <w:spacing w:before="120" w:after="120"/>
      <w:outlineLvl w:val="3"/>
    </w:pPr>
    <w:rPr>
      <w:rFonts w:ascii="Arial" w:eastAsia="黑体" w:hAnsi="Arial"/>
      <w:b/>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1863"/>
    <w:pPr>
      <w:tabs>
        <w:tab w:val="center" w:pos="4153"/>
        <w:tab w:val="right" w:pos="8306"/>
      </w:tabs>
      <w:snapToGrid w:val="0"/>
      <w:jc w:val="left"/>
    </w:pPr>
    <w:rPr>
      <w:kern w:val="0"/>
      <w:sz w:val="18"/>
      <w:szCs w:val="18"/>
    </w:rPr>
  </w:style>
  <w:style w:type="table" w:styleId="a4">
    <w:name w:val="Table Grid"/>
    <w:basedOn w:val="a1"/>
    <w:uiPriority w:val="39"/>
    <w:rsid w:val="00EE1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qFormat/>
    <w:rsid w:val="00EE1863"/>
    <w:pPr>
      <w:widowControl/>
      <w:tabs>
        <w:tab w:val="left" w:pos="1247"/>
      </w:tabs>
      <w:spacing w:before="120" w:line="288" w:lineRule="auto"/>
      <w:ind w:left="1247"/>
    </w:pPr>
    <w:rPr>
      <w:rFonts w:ascii="Arial" w:hAnsi="Arial"/>
      <w:kern w:val="0"/>
      <w:szCs w:val="21"/>
      <w:lang w:eastAsia="en-US"/>
    </w:rPr>
  </w:style>
  <w:style w:type="paragraph" w:styleId="a5">
    <w:name w:val="header"/>
    <w:basedOn w:val="a"/>
    <w:link w:val="Char"/>
    <w:rsid w:val="00011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11470"/>
    <w:rPr>
      <w:kern w:val="2"/>
      <w:sz w:val="18"/>
      <w:szCs w:val="18"/>
    </w:rPr>
  </w:style>
  <w:style w:type="paragraph" w:styleId="a6">
    <w:name w:val="Balloon Text"/>
    <w:basedOn w:val="a"/>
    <w:link w:val="Char0"/>
    <w:rsid w:val="00011470"/>
    <w:rPr>
      <w:sz w:val="18"/>
      <w:szCs w:val="18"/>
    </w:rPr>
  </w:style>
  <w:style w:type="character" w:customStyle="1" w:styleId="Char0">
    <w:name w:val="批注框文本 Char"/>
    <w:basedOn w:val="a0"/>
    <w:link w:val="a6"/>
    <w:rsid w:val="0001147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1041</Words>
  <Characters>91</Characters>
  <Application>Microsoft Office Word</Application>
  <DocSecurity>0</DocSecurity>
  <Lines>1</Lines>
  <Paragraphs>2</Paragraphs>
  <ScaleCrop>false</ScaleCrop>
  <Company>Microsoft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jy</cp:lastModifiedBy>
  <cp:revision>22</cp:revision>
  <dcterms:created xsi:type="dcterms:W3CDTF">2020-12-02T07:07:00Z</dcterms:created>
  <dcterms:modified xsi:type="dcterms:W3CDTF">2020-12-02T07:48:00Z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