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cs="宋体"/>
          <w:b/>
          <w:sz w:val="21"/>
          <w:szCs w:val="21"/>
        </w:rPr>
      </w:pPr>
    </w:p>
    <w:p>
      <w:pPr>
        <w:spacing w:line="360" w:lineRule="auto"/>
        <w:jc w:val="center"/>
        <w:rPr>
          <w:rFonts w:hint="eastAsia" w:ascii="宋体" w:hAnsi="宋体" w:eastAsia="宋体" w:cs="宋体"/>
          <w:b/>
          <w:color w:val="FF0000"/>
          <w:sz w:val="21"/>
          <w:szCs w:val="21"/>
        </w:rPr>
      </w:pPr>
    </w:p>
    <w:p>
      <w:pPr>
        <w:keepNext w:val="0"/>
        <w:keepLines w:val="0"/>
        <w:pageBreakBefore w:val="0"/>
        <w:wordWrap/>
        <w:autoSpaceDE/>
        <w:autoSpaceDN/>
        <w:bidi w:val="0"/>
        <w:spacing w:line="360" w:lineRule="auto"/>
        <w:ind w:right="0" w:rightChars="0"/>
        <w:jc w:val="center"/>
        <w:rPr>
          <w:rFonts w:hint="eastAsia" w:hAnsi="宋体"/>
          <w:b/>
          <w:sz w:val="44"/>
          <w:szCs w:val="44"/>
        </w:rPr>
      </w:pPr>
      <w:r>
        <w:rPr>
          <w:rFonts w:hint="eastAsia" w:hAnsi="宋体"/>
          <w:b/>
          <w:sz w:val="44"/>
          <w:szCs w:val="44"/>
          <w:lang w:eastAsia="zh-CN"/>
        </w:rPr>
        <w:t>江苏省南通市人民检察院智慧餐厅项目</w:t>
      </w:r>
    </w:p>
    <w:p>
      <w:pPr>
        <w:keepNext w:val="0"/>
        <w:keepLines w:val="0"/>
        <w:pageBreakBefore w:val="0"/>
        <w:wordWrap/>
        <w:autoSpaceDE/>
        <w:autoSpaceDN/>
        <w:bidi w:val="0"/>
        <w:spacing w:line="360" w:lineRule="auto"/>
        <w:ind w:right="0" w:rightChars="0"/>
        <w:jc w:val="center"/>
        <w:rPr>
          <w:rFonts w:hint="eastAsia" w:hAnsi="宋体"/>
          <w:b/>
          <w:sz w:val="44"/>
          <w:szCs w:val="44"/>
        </w:rPr>
      </w:pPr>
    </w:p>
    <w:p>
      <w:pPr>
        <w:keepNext w:val="0"/>
        <w:keepLines w:val="0"/>
        <w:pageBreakBefore w:val="0"/>
        <w:wordWrap/>
        <w:autoSpaceDE/>
        <w:autoSpaceDN/>
        <w:bidi w:val="0"/>
        <w:spacing w:line="360" w:lineRule="auto"/>
        <w:ind w:right="0" w:rightChars="0"/>
        <w:jc w:val="center"/>
        <w:rPr>
          <w:rFonts w:hint="eastAsia" w:hAnsi="宋体"/>
          <w:b/>
          <w:sz w:val="44"/>
          <w:szCs w:val="44"/>
          <w:lang w:val="zh-CN" w:eastAsia="zh-CN"/>
        </w:rPr>
      </w:pPr>
    </w:p>
    <w:p>
      <w:pPr>
        <w:keepNext w:val="0"/>
        <w:keepLines w:val="0"/>
        <w:pageBreakBefore w:val="0"/>
        <w:wordWrap/>
        <w:autoSpaceDE/>
        <w:autoSpaceDN/>
        <w:bidi w:val="0"/>
        <w:spacing w:line="360" w:lineRule="auto"/>
        <w:ind w:right="0" w:rightChars="0"/>
        <w:jc w:val="center"/>
        <w:rPr>
          <w:rFonts w:hint="default" w:hAnsi="宋体"/>
          <w:b/>
          <w:sz w:val="44"/>
          <w:szCs w:val="44"/>
          <w:lang w:val="en-US" w:eastAsia="zh-CN"/>
        </w:rPr>
      </w:pPr>
    </w:p>
    <w:p>
      <w:pPr>
        <w:keepNext w:val="0"/>
        <w:keepLines w:val="0"/>
        <w:pageBreakBefore w:val="0"/>
        <w:wordWrap/>
        <w:autoSpaceDE/>
        <w:autoSpaceDN/>
        <w:bidi w:val="0"/>
        <w:spacing w:line="360" w:lineRule="auto"/>
        <w:ind w:right="0" w:rightChars="0"/>
        <w:jc w:val="center"/>
        <w:rPr>
          <w:rFonts w:hint="eastAsia" w:hAnsi="宋体"/>
          <w:b/>
          <w:sz w:val="44"/>
          <w:szCs w:val="44"/>
          <w:lang w:val="zh-CN" w:eastAsia="zh-CN"/>
        </w:rPr>
      </w:pPr>
      <w:r>
        <w:rPr>
          <w:rFonts w:hint="eastAsia" w:hAnsi="宋体"/>
          <w:b/>
          <w:sz w:val="44"/>
          <w:szCs w:val="44"/>
          <w:lang w:val="zh-CN" w:eastAsia="zh-CN"/>
        </w:rPr>
        <w:t>竞争性谈判文件</w:t>
      </w:r>
    </w:p>
    <w:p>
      <w:pPr>
        <w:keepNext w:val="0"/>
        <w:keepLines w:val="0"/>
        <w:pageBreakBefore w:val="0"/>
        <w:wordWrap/>
        <w:autoSpaceDE/>
        <w:autoSpaceDN/>
        <w:bidi w:val="0"/>
        <w:spacing w:line="360" w:lineRule="auto"/>
        <w:ind w:right="0" w:rightChars="0"/>
        <w:jc w:val="center"/>
        <w:rPr>
          <w:rFonts w:hint="eastAsia" w:hAnsi="宋体"/>
          <w:b/>
          <w:sz w:val="44"/>
          <w:szCs w:val="44"/>
        </w:rPr>
      </w:pPr>
      <w:r>
        <w:rPr>
          <w:rFonts w:hint="eastAsia" w:hAnsi="宋体"/>
          <w:b/>
          <w:sz w:val="44"/>
          <w:szCs w:val="44"/>
        </w:rPr>
        <w:t>（资格后审）</w:t>
      </w:r>
    </w:p>
    <w:p>
      <w:pPr>
        <w:spacing w:line="360" w:lineRule="auto"/>
        <w:jc w:val="center"/>
        <w:rPr>
          <w:rFonts w:hint="eastAsia" w:ascii="宋体" w:hAnsi="宋体" w:eastAsia="宋体" w:cs="宋体"/>
          <w:b/>
          <w:sz w:val="36"/>
          <w:szCs w:val="36"/>
          <w:lang w:val="zh-CN" w:eastAsia="zh-CN"/>
        </w:rPr>
      </w:pPr>
    </w:p>
    <w:p>
      <w:pPr>
        <w:spacing w:line="360" w:lineRule="auto"/>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spacing w:line="840" w:lineRule="exact"/>
        <w:ind w:left="0" w:leftChars="0" w:right="0" w:rightChars="0" w:firstLine="0" w:firstLineChars="0"/>
        <w:jc w:val="both"/>
        <w:textAlignment w:val="auto"/>
        <w:outlineLvl w:val="9"/>
        <w:rPr>
          <w:rFonts w:hint="eastAsia" w:ascii="宋体" w:hAnsi="宋体" w:eastAsia="宋体" w:cs="宋体"/>
          <w:b/>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b/>
          <w:sz w:val="32"/>
          <w:szCs w:val="32"/>
        </w:rPr>
        <w:t>采 购 人：</w:t>
      </w:r>
      <w:r>
        <w:rPr>
          <w:rFonts w:hint="eastAsia" w:ascii="宋体" w:hAnsi="宋体" w:cs="宋体"/>
          <w:b/>
          <w:sz w:val="32"/>
          <w:szCs w:val="32"/>
          <w:lang w:eastAsia="zh-CN"/>
        </w:rPr>
        <w:t>江苏省南通市人民检察院</w:t>
      </w:r>
    </w:p>
    <w:p>
      <w:pPr>
        <w:keepNext w:val="0"/>
        <w:keepLines w:val="0"/>
        <w:pageBreakBefore w:val="0"/>
        <w:widowControl w:val="0"/>
        <w:kinsoku/>
        <w:wordWrap/>
        <w:overflowPunct/>
        <w:topLinePunct w:val="0"/>
        <w:autoSpaceDE/>
        <w:autoSpaceDN/>
        <w:bidi w:val="0"/>
        <w:adjustRightInd w:val="0"/>
        <w:snapToGrid w:val="0"/>
        <w:spacing w:line="840" w:lineRule="exact"/>
        <w:ind w:left="0" w:leftChars="0" w:right="0" w:rightChars="0" w:firstLine="0" w:firstLineChars="0"/>
        <w:jc w:val="both"/>
        <w:textAlignment w:val="auto"/>
        <w:outlineLvl w:val="9"/>
        <w:rPr>
          <w:rFonts w:hint="eastAsia" w:ascii="宋体" w:hAnsi="宋体" w:eastAsia="宋体" w:cs="宋体"/>
          <w:b/>
          <w:sz w:val="32"/>
          <w:szCs w:val="32"/>
          <w:lang w:eastAsia="zh-CN"/>
        </w:rPr>
      </w:pPr>
      <w:r>
        <w:rPr>
          <w:rFonts w:hint="eastAsia" w:ascii="宋体" w:hAnsi="宋体" w:eastAsia="宋体" w:cs="宋体"/>
          <w:b/>
          <w:sz w:val="32"/>
          <w:szCs w:val="32"/>
        </w:rPr>
        <w:t xml:space="preserve">   </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代理机构：</w:t>
      </w:r>
      <w:r>
        <w:rPr>
          <w:rFonts w:hint="eastAsia" w:ascii="宋体" w:hAnsi="宋体" w:eastAsia="宋体" w:cs="宋体"/>
          <w:b/>
          <w:sz w:val="32"/>
          <w:szCs w:val="32"/>
          <w:lang w:eastAsia="zh-CN"/>
        </w:rPr>
        <w:t>南通正扬工程项目管理有限公司</w:t>
      </w:r>
    </w:p>
    <w:p>
      <w:pPr>
        <w:keepNext w:val="0"/>
        <w:keepLines w:val="0"/>
        <w:pageBreakBefore w:val="0"/>
        <w:widowControl w:val="0"/>
        <w:kinsoku/>
        <w:wordWrap/>
        <w:overflowPunct/>
        <w:topLinePunct w:val="0"/>
        <w:autoSpaceDE/>
        <w:autoSpaceDN/>
        <w:bidi w:val="0"/>
        <w:adjustRightInd w:val="0"/>
        <w:snapToGrid w:val="0"/>
        <w:spacing w:line="840" w:lineRule="exact"/>
        <w:ind w:left="0" w:leftChars="0" w:right="0" w:rightChars="0"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二〇一</w:t>
      </w:r>
      <w:r>
        <w:rPr>
          <w:rFonts w:hint="eastAsia" w:ascii="宋体" w:hAnsi="宋体" w:eastAsia="宋体" w:cs="宋体"/>
          <w:b/>
          <w:sz w:val="32"/>
          <w:szCs w:val="32"/>
          <w:lang w:val="en-US" w:eastAsia="zh-CN"/>
        </w:rPr>
        <w:t>九</w:t>
      </w:r>
      <w:r>
        <w:rPr>
          <w:rFonts w:hint="eastAsia" w:ascii="宋体" w:hAnsi="宋体" w:eastAsia="宋体" w:cs="宋体"/>
          <w:b/>
          <w:sz w:val="32"/>
          <w:szCs w:val="32"/>
        </w:rPr>
        <w:t>年</w:t>
      </w:r>
      <w:r>
        <w:rPr>
          <w:rFonts w:hint="eastAsia" w:ascii="宋体" w:hAnsi="宋体" w:eastAsia="宋体" w:cs="宋体"/>
          <w:b/>
          <w:sz w:val="32"/>
          <w:szCs w:val="32"/>
          <w:lang w:val="en-US" w:eastAsia="zh-CN"/>
        </w:rPr>
        <w:t>十</w:t>
      </w:r>
      <w:r>
        <w:rPr>
          <w:rFonts w:hint="eastAsia" w:ascii="宋体" w:hAnsi="宋体" w:cs="宋体"/>
          <w:b/>
          <w:sz w:val="32"/>
          <w:szCs w:val="32"/>
          <w:lang w:val="en-US" w:eastAsia="zh-CN"/>
        </w:rPr>
        <w:t>二</w:t>
      </w:r>
      <w:r>
        <w:rPr>
          <w:rFonts w:hint="eastAsia" w:ascii="宋体" w:hAnsi="宋体" w:eastAsia="宋体" w:cs="宋体"/>
          <w:b/>
          <w:sz w:val="32"/>
          <w:szCs w:val="32"/>
        </w:rPr>
        <w:t>月</w:t>
      </w:r>
      <w:r>
        <w:rPr>
          <w:rFonts w:hint="eastAsia" w:ascii="宋体" w:hAnsi="宋体" w:cs="宋体"/>
          <w:b/>
          <w:sz w:val="32"/>
          <w:szCs w:val="32"/>
          <w:lang w:val="en-US" w:eastAsia="zh-CN"/>
        </w:rPr>
        <w:t>十七</w:t>
      </w:r>
      <w:r>
        <w:rPr>
          <w:rFonts w:hint="eastAsia" w:ascii="宋体" w:hAnsi="宋体" w:eastAsia="宋体" w:cs="宋体"/>
          <w:b/>
          <w:sz w:val="32"/>
          <w:szCs w:val="32"/>
        </w:rPr>
        <w:t>日</w:t>
      </w:r>
    </w:p>
    <w:p>
      <w:pPr>
        <w:spacing w:line="360" w:lineRule="auto"/>
        <w:rPr>
          <w:rFonts w:hint="eastAsia" w:ascii="宋体" w:hAnsi="宋体" w:eastAsia="宋体" w:cs="宋体"/>
          <w:b/>
          <w:sz w:val="21"/>
          <w:szCs w:val="21"/>
        </w:rPr>
      </w:pPr>
    </w:p>
    <w:p>
      <w:pPr>
        <w:pStyle w:val="14"/>
        <w:tabs>
          <w:tab w:val="right" w:leader="dot" w:pos="8296"/>
        </w:tabs>
        <w:rPr>
          <w:rFonts w:hint="eastAsia" w:ascii="宋体" w:hAnsi="宋体" w:eastAsia="宋体" w:cs="宋体"/>
          <w:b/>
          <w:bCs/>
          <w:sz w:val="21"/>
          <w:szCs w:val="21"/>
        </w:rPr>
      </w:pPr>
      <w:r>
        <w:rPr>
          <w:rFonts w:hint="eastAsia" w:ascii="宋体" w:hAnsi="宋体" w:eastAsia="宋体" w:cs="宋体"/>
          <w:b/>
          <w:bCs/>
          <w:sz w:val="21"/>
          <w:szCs w:val="21"/>
        </w:rPr>
        <w:t xml:space="preserve">                                  </w:t>
      </w:r>
    </w:p>
    <w:p>
      <w:pPr>
        <w:rPr>
          <w:rFonts w:hint="eastAsia" w:ascii="宋体" w:hAnsi="宋体" w:eastAsia="宋体" w:cs="宋体"/>
          <w:b/>
          <w:bCs/>
          <w:sz w:val="21"/>
          <w:szCs w:val="21"/>
        </w:rPr>
      </w:pPr>
    </w:p>
    <w:p>
      <w:pPr>
        <w:rPr>
          <w:rFonts w:hint="eastAsia" w:ascii="宋体" w:hAnsi="宋体" w:eastAsia="宋体" w:cs="宋体"/>
          <w:b/>
          <w:bCs/>
          <w:sz w:val="21"/>
          <w:szCs w:val="21"/>
        </w:rPr>
      </w:pPr>
    </w:p>
    <w:p>
      <w:pPr>
        <w:rPr>
          <w:rFonts w:hint="eastAsia" w:ascii="宋体" w:hAnsi="宋体" w:eastAsia="宋体" w:cs="宋体"/>
          <w:b/>
          <w:bCs/>
          <w:sz w:val="21"/>
          <w:szCs w:val="21"/>
        </w:rPr>
      </w:pPr>
    </w:p>
    <w:p>
      <w:pPr>
        <w:jc w:val="center"/>
        <w:rPr>
          <w:rFonts w:hint="eastAsia" w:ascii="宋体" w:hAnsi="宋体" w:cs="宋体"/>
          <w:b/>
          <w:color w:val="000000"/>
          <w:sz w:val="44"/>
          <w:szCs w:val="44"/>
        </w:rPr>
        <w:sectPr>
          <w:headerReference r:id="rId3" w:type="default"/>
          <w:pgSz w:w="11906" w:h="16838"/>
          <w:pgMar w:top="1440" w:right="1416" w:bottom="1440" w:left="1418" w:header="851" w:footer="992" w:gutter="0"/>
          <w:pgBorders w:offsetFrom="page">
            <w:top w:val="none" w:sz="0" w:space="0"/>
            <w:left w:val="none" w:sz="0" w:space="0"/>
            <w:bottom w:val="none" w:sz="0" w:space="0"/>
            <w:right w:val="none" w:sz="0" w:space="0"/>
          </w:pgBorders>
          <w:cols w:space="720" w:num="1"/>
          <w:docGrid w:type="lines" w:linePitch="312" w:charSpace="0"/>
        </w:sectPr>
      </w:pPr>
      <w:bookmarkStart w:id="0" w:name="_Toc312608845"/>
      <w:bookmarkStart w:id="1" w:name="_Toc257275442"/>
      <w:bookmarkStart w:id="2" w:name="_Toc241913651"/>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lang w:val="zh-CN" w:eastAsia="zh-CN"/>
        </w:rPr>
        <w:t>竞争性谈判文件</w:t>
      </w:r>
      <w:r>
        <w:rPr>
          <w:rFonts w:hint="eastAsia" w:ascii="宋体" w:hAnsi="宋体" w:cs="宋体"/>
          <w:b/>
          <w:color w:val="000000"/>
          <w:sz w:val="44"/>
          <w:szCs w:val="44"/>
        </w:rPr>
        <w:t>备案表</w:t>
      </w:r>
    </w:p>
    <w:p>
      <w:pPr>
        <w:jc w:val="center"/>
        <w:rPr>
          <w:rFonts w:hint="eastAsia" w:ascii="宋体" w:hAnsi="宋体" w:cs="宋体"/>
          <w:b/>
          <w:color w:val="000000"/>
          <w:sz w:val="44"/>
          <w:szCs w:val="44"/>
        </w:rPr>
      </w:pP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8" w:hRule="atLeast"/>
          <w:jc w:val="center"/>
        </w:trPr>
        <w:tc>
          <w:tcPr>
            <w:tcW w:w="9180" w:type="dxa"/>
            <w:vAlign w:val="top"/>
          </w:tcPr>
          <w:p>
            <w:pPr>
              <w:spacing w:line="360" w:lineRule="auto"/>
              <w:jc w:val="center"/>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p>
          <w:p>
            <w:pPr>
              <w:spacing w:line="360" w:lineRule="auto"/>
              <w:ind w:firstLine="3000" w:firstLineChars="1200"/>
              <w:rPr>
                <w:rFonts w:hint="eastAsia" w:ascii="宋体" w:hAnsi="宋体" w:eastAsia="宋体" w:cs="宋体"/>
                <w:color w:val="000000"/>
                <w:position w:val="-48"/>
                <w:sz w:val="25"/>
                <w:lang w:eastAsia="zh-CN"/>
              </w:rPr>
            </w:pPr>
            <w:r>
              <w:rPr>
                <w:rFonts w:hint="eastAsia" w:ascii="宋体" w:hAnsi="宋体" w:cs="宋体"/>
                <w:color w:val="000000"/>
                <w:position w:val="-48"/>
                <w:sz w:val="25"/>
              </w:rPr>
              <w:t>编制人：</w:t>
            </w:r>
            <w:r>
              <w:rPr>
                <w:rFonts w:hint="eastAsia" w:ascii="宋体" w:hAnsi="宋体" w:cs="宋体"/>
                <w:color w:val="000000"/>
                <w:position w:val="-48"/>
                <w:sz w:val="25"/>
                <w:lang w:val="en-US" w:eastAsia="zh-CN"/>
              </w:rPr>
              <w:t>李艳梅</w:t>
            </w:r>
          </w:p>
          <w:p>
            <w:pPr>
              <w:tabs>
                <w:tab w:val="left" w:pos="3492"/>
              </w:tabs>
              <w:spacing w:line="360" w:lineRule="auto"/>
              <w:ind w:firstLine="3000" w:firstLineChars="1200"/>
              <w:rPr>
                <w:rFonts w:hint="eastAsia" w:ascii="宋体" w:hAnsi="宋体" w:cs="宋体"/>
                <w:color w:val="000000"/>
                <w:position w:val="-48"/>
                <w:sz w:val="25"/>
              </w:rPr>
            </w:pPr>
            <w:r>
              <w:rPr>
                <w:rFonts w:hint="eastAsia" w:ascii="宋体" w:hAnsi="宋体" w:cs="宋体"/>
                <w:color w:val="000000"/>
                <w:position w:val="-48"/>
                <w:sz w:val="25"/>
              </w:rPr>
              <w:t>日  期：2019年</w:t>
            </w:r>
            <w:r>
              <w:rPr>
                <w:rFonts w:hint="eastAsia" w:ascii="宋体" w:hAnsi="宋体" w:cs="宋体"/>
                <w:color w:val="000000"/>
                <w:position w:val="-48"/>
                <w:sz w:val="25"/>
                <w:lang w:val="en-US" w:eastAsia="zh-CN"/>
              </w:rPr>
              <w:t>12</w:t>
            </w:r>
            <w:r>
              <w:rPr>
                <w:rFonts w:hint="eastAsia" w:ascii="宋体" w:hAnsi="宋体" w:cs="宋体"/>
                <w:color w:val="000000"/>
                <w:position w:val="-48"/>
                <w:sz w:val="25"/>
              </w:rPr>
              <w:t>月</w:t>
            </w:r>
            <w:r>
              <w:rPr>
                <w:rFonts w:hint="eastAsia" w:ascii="宋体" w:hAnsi="宋体" w:cs="宋体"/>
                <w:color w:val="000000"/>
                <w:position w:val="-48"/>
                <w:sz w:val="25"/>
                <w:lang w:val="en-US" w:eastAsia="zh-CN"/>
              </w:rPr>
              <w:t>17</w:t>
            </w:r>
            <w:r>
              <w:rPr>
                <w:rFonts w:hint="eastAsia" w:ascii="宋体" w:hAnsi="宋体" w:cs="宋体"/>
                <w:color w:val="000000"/>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vAlign w:val="top"/>
          </w:tcPr>
          <w:p>
            <w:pPr>
              <w:spacing w:line="360" w:lineRule="auto"/>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p>
          <w:p>
            <w:pPr>
              <w:spacing w:line="360" w:lineRule="auto"/>
              <w:ind w:firstLine="1125" w:firstLineChars="450"/>
              <w:rPr>
                <w:rFonts w:hint="eastAsia" w:ascii="宋体" w:hAnsi="宋体" w:cs="宋体"/>
                <w:color w:val="000000"/>
                <w:position w:val="-48"/>
                <w:sz w:val="25"/>
              </w:rPr>
            </w:pPr>
            <w:r>
              <w:rPr>
                <w:rFonts w:hint="eastAsia" w:ascii="宋体" w:hAnsi="宋体" w:cs="宋体"/>
                <w:color w:val="000000"/>
                <w:position w:val="-48"/>
                <w:sz w:val="25"/>
              </w:rPr>
              <w:t xml:space="preserve">采购单位（盖章）              </w:t>
            </w:r>
            <w:r>
              <w:rPr>
                <w:rFonts w:hint="eastAsia" w:ascii="宋体" w:hAnsi="宋体" w:cs="宋体"/>
                <w:color w:val="000000"/>
                <w:position w:val="-48"/>
                <w:sz w:val="25"/>
                <w:lang w:eastAsia="zh-CN"/>
              </w:rPr>
              <w:t>法定代表人</w:t>
            </w:r>
            <w:r>
              <w:rPr>
                <w:rFonts w:hint="eastAsia" w:ascii="宋体" w:hAnsi="宋体" w:cs="宋体"/>
                <w:color w:val="000000"/>
                <w:position w:val="-48"/>
                <w:sz w:val="25"/>
              </w:rPr>
              <w:t>（签字或盖章）</w:t>
            </w:r>
          </w:p>
          <w:p>
            <w:pPr>
              <w:spacing w:line="360" w:lineRule="auto"/>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r>
              <w:rPr>
                <w:rFonts w:hint="eastAsia" w:ascii="宋体" w:hAnsi="宋体" w:cs="宋体"/>
                <w:color w:val="000000"/>
                <w:position w:val="-48"/>
                <w:sz w:val="25"/>
                <w:lang w:val="en-US" w:eastAsia="zh-CN"/>
              </w:rPr>
              <w:t xml:space="preserve"> </w:t>
            </w:r>
            <w:r>
              <w:rPr>
                <w:rFonts w:hint="eastAsia" w:ascii="宋体" w:hAnsi="宋体" w:cs="宋体"/>
                <w:color w:val="000000"/>
                <w:position w:val="-48"/>
                <w:sz w:val="25"/>
              </w:rPr>
              <w:t xml:space="preserve">代理机构（盖章）              </w:t>
            </w:r>
            <w:r>
              <w:rPr>
                <w:rFonts w:hint="eastAsia" w:ascii="宋体" w:hAnsi="宋体" w:cs="宋体"/>
                <w:color w:val="000000"/>
                <w:position w:val="-48"/>
                <w:sz w:val="25"/>
                <w:lang w:eastAsia="zh-CN"/>
              </w:rPr>
              <w:t>法定代表人</w:t>
            </w:r>
            <w:r>
              <w:rPr>
                <w:rFonts w:hint="eastAsia" w:ascii="宋体" w:hAnsi="宋体" w:cs="宋体"/>
                <w:color w:val="000000"/>
                <w:position w:val="-48"/>
                <w:sz w:val="25"/>
              </w:rPr>
              <w:t>（签字或盖章）</w:t>
            </w:r>
          </w:p>
          <w:p>
            <w:pPr>
              <w:spacing w:line="360" w:lineRule="auto"/>
              <w:rPr>
                <w:rFonts w:hint="eastAsia" w:ascii="宋体" w:hAnsi="宋体" w:cs="宋体"/>
                <w:color w:val="000000"/>
                <w:position w:val="-48"/>
                <w:sz w:val="25"/>
              </w:rPr>
            </w:pPr>
          </w:p>
          <w:p>
            <w:pPr>
              <w:spacing w:line="360" w:lineRule="auto"/>
              <w:jc w:val="center"/>
              <w:rPr>
                <w:rFonts w:hint="eastAsia" w:ascii="宋体" w:hAnsi="宋体" w:cs="宋体"/>
                <w:color w:val="000000"/>
                <w:position w:val="-48"/>
                <w:sz w:val="25"/>
              </w:rPr>
            </w:pPr>
            <w:r>
              <w:rPr>
                <w:rFonts w:hint="eastAsia" w:ascii="宋体" w:hAnsi="宋体" w:cs="宋体"/>
                <w:color w:val="000000"/>
                <w:position w:val="-48"/>
                <w:sz w:val="25"/>
              </w:rPr>
              <w:t>日  期：2019年</w:t>
            </w:r>
            <w:r>
              <w:rPr>
                <w:rFonts w:hint="eastAsia" w:ascii="宋体" w:hAnsi="宋体" w:cs="宋体"/>
                <w:color w:val="000000"/>
                <w:position w:val="-48"/>
                <w:sz w:val="25"/>
                <w:lang w:val="en-US" w:eastAsia="zh-CN"/>
              </w:rPr>
              <w:t>12</w:t>
            </w:r>
            <w:r>
              <w:rPr>
                <w:rFonts w:hint="eastAsia" w:ascii="宋体" w:hAnsi="宋体" w:cs="宋体"/>
                <w:color w:val="000000"/>
                <w:position w:val="-48"/>
                <w:sz w:val="25"/>
              </w:rPr>
              <w:t>月</w:t>
            </w:r>
            <w:r>
              <w:rPr>
                <w:rFonts w:hint="eastAsia" w:ascii="宋体" w:hAnsi="宋体" w:cs="宋体"/>
                <w:color w:val="000000"/>
                <w:position w:val="-48"/>
                <w:sz w:val="25"/>
                <w:lang w:val="en-US" w:eastAsia="zh-CN"/>
              </w:rPr>
              <w:t>17</w:t>
            </w:r>
            <w:r>
              <w:rPr>
                <w:rFonts w:hint="eastAsia" w:ascii="宋体" w:hAnsi="宋体" w:cs="宋体"/>
                <w:color w:val="000000"/>
                <w:position w:val="-48"/>
                <w:sz w:val="25"/>
              </w:rPr>
              <w:t>日</w:t>
            </w:r>
          </w:p>
        </w:tc>
      </w:tr>
    </w:tbl>
    <w:p>
      <w:pPr>
        <w:pStyle w:val="8"/>
        <w:tabs>
          <w:tab w:val="left" w:pos="1050"/>
          <w:tab w:val="right" w:leader="dot" w:pos="9402"/>
        </w:tabs>
        <w:spacing w:line="960" w:lineRule="exact"/>
        <w:ind w:left="0"/>
        <w:jc w:val="center"/>
        <w:outlineLvl w:val="0"/>
        <w:rPr>
          <w:rFonts w:hint="eastAsia" w:ascii="宋体" w:hAnsi="宋体" w:eastAsia="宋体" w:cs="宋体"/>
          <w:b/>
          <w:i w:val="0"/>
          <w:w w:val="80"/>
          <w:sz w:val="32"/>
          <w:szCs w:val="32"/>
        </w:rPr>
      </w:pPr>
      <w:r>
        <w:rPr>
          <w:rFonts w:hint="eastAsia" w:ascii="宋体" w:hAnsi="宋体" w:eastAsia="宋体" w:cs="宋体"/>
          <w:b/>
          <w:i w:val="0"/>
          <w:w w:val="80"/>
          <w:sz w:val="32"/>
          <w:szCs w:val="32"/>
        </w:rPr>
        <w:br w:type="page"/>
      </w:r>
      <w:r>
        <w:rPr>
          <w:rFonts w:hint="eastAsia" w:ascii="宋体" w:hAnsi="宋体" w:eastAsia="宋体" w:cs="宋体"/>
          <w:b/>
          <w:i w:val="0"/>
          <w:w w:val="80"/>
          <w:sz w:val="32"/>
          <w:szCs w:val="32"/>
        </w:rPr>
        <w:t>目   录</w:t>
      </w:r>
    </w:p>
    <w:p>
      <w:pPr>
        <w:spacing w:line="800" w:lineRule="exact"/>
        <w:jc w:val="center"/>
        <w:rPr>
          <w:rFonts w:hint="eastAsia" w:ascii="宋体" w:hAnsi="宋体" w:eastAsia="宋体" w:cs="宋体"/>
          <w:b/>
          <w:sz w:val="28"/>
          <w:szCs w:val="28"/>
        </w:rPr>
      </w:pP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第一章       竞争性谈判公告</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第二章       </w:t>
      </w:r>
      <w:r>
        <w:rPr>
          <w:rFonts w:hint="eastAsia" w:ascii="宋体" w:hAnsi="宋体" w:eastAsia="宋体" w:cs="宋体"/>
          <w:sz w:val="28"/>
          <w:szCs w:val="28"/>
          <w:lang w:eastAsia="zh-CN"/>
        </w:rPr>
        <w:t>谈判供应商</w:t>
      </w:r>
      <w:r>
        <w:rPr>
          <w:rFonts w:hint="eastAsia" w:ascii="宋体" w:hAnsi="宋体" w:eastAsia="宋体" w:cs="宋体"/>
          <w:sz w:val="28"/>
          <w:szCs w:val="28"/>
        </w:rPr>
        <w:t>须知</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第三章       项目需求</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第四章       竞争性谈判程序和内容</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五</w:t>
      </w:r>
      <w:r>
        <w:rPr>
          <w:rFonts w:hint="eastAsia" w:ascii="宋体" w:hAnsi="宋体" w:eastAsia="宋体" w:cs="宋体"/>
          <w:sz w:val="28"/>
          <w:szCs w:val="28"/>
        </w:rPr>
        <w:t>章       合同授予</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六</w:t>
      </w:r>
      <w:r>
        <w:rPr>
          <w:rFonts w:hint="eastAsia" w:ascii="宋体" w:hAnsi="宋体" w:eastAsia="宋体" w:cs="宋体"/>
          <w:sz w:val="28"/>
          <w:szCs w:val="28"/>
        </w:rPr>
        <w:t>章       质疑提出和处理</w:t>
      </w:r>
    </w:p>
    <w:p>
      <w:pPr>
        <w:keepNext w:val="0"/>
        <w:keepLines w:val="0"/>
        <w:pageBreakBefore w:val="0"/>
        <w:widowControl w:val="0"/>
        <w:kinsoku/>
        <w:wordWrap/>
        <w:overflowPunct/>
        <w:topLinePunct w:val="0"/>
        <w:bidi w:val="0"/>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cs="宋体"/>
          <w:sz w:val="28"/>
          <w:szCs w:val="28"/>
          <w:lang w:val="en-US" w:eastAsia="zh-CN"/>
        </w:rPr>
        <w:t>七</w:t>
      </w:r>
      <w:r>
        <w:rPr>
          <w:rFonts w:hint="eastAsia" w:ascii="宋体" w:hAnsi="宋体" w:eastAsia="宋体" w:cs="宋体"/>
          <w:sz w:val="28"/>
          <w:szCs w:val="28"/>
        </w:rPr>
        <w:t>章       谈判响应文件组成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sz w:val="28"/>
          <w:szCs w:val="28"/>
          <w:lang w:val="en-US" w:eastAsia="zh-CN"/>
        </w:rPr>
        <w:t xml:space="preserve">    </w:t>
      </w:r>
      <w:r>
        <w:rPr>
          <w:rFonts w:hint="eastAsia" w:ascii="宋体" w:hAnsi="宋体" w:cs="宋体"/>
          <w:sz w:val="28"/>
          <w:szCs w:val="28"/>
          <w:lang w:eastAsia="zh-CN"/>
        </w:rPr>
        <w:t>第八章</w:t>
      </w:r>
      <w:r>
        <w:rPr>
          <w:rFonts w:hint="eastAsia" w:ascii="宋体" w:hAnsi="宋体" w:eastAsia="宋体" w:cs="宋体"/>
          <w:sz w:val="28"/>
          <w:szCs w:val="28"/>
        </w:rPr>
        <w:t xml:space="preserve">       相关附件格式</w:t>
      </w:r>
      <w:r>
        <w:rPr>
          <w:rFonts w:hint="eastAsia" w:ascii="宋体" w:hAnsi="宋体" w:eastAsia="宋体" w:cs="宋体"/>
          <w:sz w:val="28"/>
          <w:szCs w:val="28"/>
        </w:rPr>
        <w:br w:type="page"/>
      </w:r>
      <w:bookmarkEnd w:id="0"/>
      <w:bookmarkEnd w:id="1"/>
      <w:bookmarkEnd w:id="2"/>
      <w:r>
        <w:rPr>
          <w:rFonts w:hint="eastAsia" w:ascii="宋体" w:hAnsi="宋体" w:eastAsia="宋体" w:cs="宋体"/>
          <w:b/>
          <w:sz w:val="21"/>
          <w:szCs w:val="21"/>
        </w:rPr>
        <w:t>尊敬的</w:t>
      </w:r>
      <w:r>
        <w:rPr>
          <w:rFonts w:hint="eastAsia" w:ascii="宋体" w:hAnsi="宋体" w:eastAsia="宋体" w:cs="宋体"/>
          <w:b/>
          <w:sz w:val="21"/>
          <w:szCs w:val="21"/>
          <w:lang w:eastAsia="zh-CN"/>
        </w:rPr>
        <w:t>谈判供应商</w:t>
      </w:r>
      <w:r>
        <w:rPr>
          <w:rFonts w:hint="eastAsia" w:ascii="宋体" w:hAnsi="宋体" w:eastAsia="宋体" w:cs="宋体"/>
          <w:b/>
          <w:sz w:val="21"/>
          <w:szCs w:val="21"/>
        </w:rPr>
        <w:t>：</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欢迎参加本采购项目的竞争性谈判。为了保证本次谈判项目顺利进行，请在制作谈判响应文件之前，仔细阅读本竞争性谈判文件的各项条款，并按要求制作和递交谈判响应文件。谢谢合作！</w:t>
      </w:r>
    </w:p>
    <w:p>
      <w:pPr>
        <w:pStyle w:val="3"/>
        <w:jc w:val="center"/>
        <w:rPr>
          <w:rFonts w:hint="eastAsia" w:ascii="宋体" w:hAnsi="宋体" w:eastAsia="宋体" w:cs="宋体"/>
          <w:sz w:val="32"/>
          <w:szCs w:val="32"/>
          <w:lang w:val="zh-CN"/>
        </w:rPr>
      </w:pPr>
      <w:bookmarkStart w:id="3" w:name="_Toc446695375"/>
      <w:r>
        <w:rPr>
          <w:rFonts w:hint="eastAsia" w:ascii="宋体" w:hAnsi="宋体" w:eastAsia="宋体" w:cs="宋体"/>
          <w:sz w:val="32"/>
          <w:szCs w:val="32"/>
          <w:lang w:val="zh-CN"/>
        </w:rPr>
        <w:t>第一章 竞争性谈判公告</w:t>
      </w:r>
      <w:bookmarkEnd w:id="3"/>
    </w:p>
    <w:p>
      <w:pPr>
        <w:snapToGrid w:val="0"/>
        <w:spacing w:line="480" w:lineRule="exact"/>
        <w:ind w:left="2" w:firstLine="424" w:firstLineChars="202"/>
        <w:rPr>
          <w:rFonts w:hint="eastAsia" w:ascii="宋体" w:hAnsi="宋体" w:eastAsia="宋体" w:cs="宋体"/>
          <w:b/>
          <w:bCs/>
          <w:sz w:val="21"/>
          <w:szCs w:val="21"/>
        </w:rPr>
      </w:pPr>
      <w:r>
        <w:rPr>
          <w:rFonts w:hint="eastAsia" w:ascii="宋体" w:hAnsi="宋体" w:eastAsia="宋体" w:cs="宋体"/>
          <w:sz w:val="21"/>
          <w:szCs w:val="21"/>
          <w:u w:val="single"/>
          <w:lang w:eastAsia="zh-CN"/>
        </w:rPr>
        <w:t>南通正扬工程项目管理有限公司</w:t>
      </w:r>
      <w:r>
        <w:rPr>
          <w:rFonts w:hint="eastAsia" w:ascii="宋体" w:hAnsi="宋体" w:eastAsia="宋体" w:cs="宋体"/>
          <w:sz w:val="21"/>
          <w:szCs w:val="21"/>
        </w:rPr>
        <w:t>（以下简称委托代理机构）受</w:t>
      </w:r>
      <w:r>
        <w:rPr>
          <w:rFonts w:hint="eastAsia" w:ascii="宋体" w:hAnsi="宋体" w:cs="宋体"/>
          <w:sz w:val="21"/>
          <w:szCs w:val="21"/>
          <w:u w:val="single"/>
          <w:lang w:eastAsia="zh-CN"/>
        </w:rPr>
        <w:t>江苏省南通市人民检察院</w:t>
      </w:r>
      <w:r>
        <w:rPr>
          <w:rFonts w:hint="eastAsia" w:ascii="宋体" w:hAnsi="宋体" w:eastAsia="宋体" w:cs="宋体"/>
          <w:sz w:val="21"/>
          <w:szCs w:val="21"/>
        </w:rPr>
        <w:t>（以下称采购人）的委托，</w:t>
      </w:r>
      <w:r>
        <w:rPr>
          <w:rFonts w:hint="eastAsia" w:ascii="宋体" w:hAnsi="宋体" w:eastAsia="宋体" w:cs="宋体"/>
          <w:color w:val="000000"/>
          <w:sz w:val="21"/>
          <w:szCs w:val="21"/>
        </w:rPr>
        <w:t>就</w:t>
      </w:r>
      <w:r>
        <w:rPr>
          <w:rFonts w:hint="eastAsia" w:ascii="宋体" w:hAnsi="宋体" w:cs="宋体"/>
          <w:color w:val="000000"/>
          <w:sz w:val="21"/>
          <w:szCs w:val="21"/>
          <w:u w:val="single"/>
          <w:lang w:eastAsia="zh-CN"/>
        </w:rPr>
        <w:t>江苏省南通市人民检察院智慧餐厅项目</w:t>
      </w:r>
      <w:r>
        <w:rPr>
          <w:rFonts w:hint="eastAsia" w:ascii="宋体" w:hAnsi="宋体" w:eastAsia="宋体" w:cs="宋体"/>
          <w:color w:val="000000"/>
          <w:sz w:val="21"/>
          <w:szCs w:val="21"/>
          <w:u w:val="none"/>
        </w:rPr>
        <w:t>拟用竞</w:t>
      </w:r>
      <w:r>
        <w:rPr>
          <w:rFonts w:hint="eastAsia" w:ascii="宋体" w:hAnsi="宋体" w:eastAsia="宋体" w:cs="宋体"/>
          <w:sz w:val="21"/>
          <w:szCs w:val="21"/>
          <w:u w:val="none"/>
        </w:rPr>
        <w:t>争性谈判方式组</w:t>
      </w:r>
      <w:r>
        <w:rPr>
          <w:rFonts w:hint="eastAsia" w:ascii="宋体" w:hAnsi="宋体" w:eastAsia="宋体" w:cs="宋体"/>
          <w:sz w:val="21"/>
          <w:szCs w:val="21"/>
        </w:rPr>
        <w:t xml:space="preserve">织采购，诚邀符合条件的潜在谈判供应商参加该项目的竞争性谈判。  </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    一、项目名称：</w:t>
      </w:r>
      <w:r>
        <w:rPr>
          <w:rFonts w:hint="eastAsia" w:ascii="宋体" w:hAnsi="宋体" w:cs="宋体"/>
          <w:color w:val="000000"/>
          <w:sz w:val="21"/>
          <w:szCs w:val="21"/>
          <w:lang w:eastAsia="zh-CN"/>
        </w:rPr>
        <w:t>江苏省南通市人民检察院智慧餐厅项目</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 xml:space="preserve">、项目需求：见第三章 </w:t>
      </w:r>
      <w:r>
        <w:rPr>
          <w:rFonts w:hint="eastAsia" w:ascii="宋体" w:hAnsi="宋体" w:eastAsia="宋体" w:cs="宋体"/>
          <w:color w:val="FF00FF"/>
          <w:sz w:val="21"/>
          <w:szCs w:val="21"/>
        </w:rPr>
        <w:t xml:space="preserve"> </w:t>
      </w:r>
    </w:p>
    <w:p>
      <w:pPr>
        <w:snapToGrid w:val="0"/>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三、项目预算：人</w:t>
      </w:r>
      <w:r>
        <w:rPr>
          <w:rFonts w:hint="eastAsia" w:ascii="宋体" w:hAnsi="宋体" w:eastAsia="宋体" w:cs="宋体"/>
          <w:sz w:val="21"/>
          <w:szCs w:val="21"/>
          <w:highlight w:val="none"/>
        </w:rPr>
        <w:t>民币</w:t>
      </w:r>
      <w:r>
        <w:rPr>
          <w:rFonts w:hint="eastAsia" w:ascii="宋体" w:hAnsi="宋体" w:cs="宋体"/>
          <w:sz w:val="21"/>
          <w:szCs w:val="21"/>
          <w:highlight w:val="none"/>
          <w:lang w:val="en-US" w:eastAsia="zh-CN"/>
        </w:rPr>
        <w:t>19.8</w:t>
      </w:r>
      <w:r>
        <w:rPr>
          <w:rFonts w:hint="eastAsia" w:ascii="宋体" w:hAnsi="宋体" w:eastAsia="宋体" w:cs="宋体"/>
          <w:sz w:val="21"/>
          <w:szCs w:val="21"/>
          <w:highlight w:val="none"/>
        </w:rPr>
        <w:t>万</w:t>
      </w:r>
      <w:r>
        <w:rPr>
          <w:rFonts w:hint="eastAsia" w:ascii="宋体" w:hAnsi="宋体" w:eastAsia="宋体" w:cs="宋体"/>
          <w:sz w:val="21"/>
          <w:szCs w:val="21"/>
        </w:rPr>
        <w:t>元</w:t>
      </w:r>
    </w:p>
    <w:p>
      <w:pPr>
        <w:snapToGrid w:val="0"/>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四</w:t>
      </w:r>
      <w:r>
        <w:rPr>
          <w:rFonts w:hint="eastAsia" w:ascii="宋体" w:hAnsi="宋体" w:eastAsia="宋体" w:cs="宋体"/>
          <w:sz w:val="21"/>
          <w:szCs w:val="21"/>
        </w:rPr>
        <w:t>、潜在的</w:t>
      </w:r>
      <w:r>
        <w:rPr>
          <w:rFonts w:hint="eastAsia" w:ascii="宋体" w:hAnsi="宋体" w:eastAsia="宋体" w:cs="宋体"/>
          <w:sz w:val="21"/>
          <w:szCs w:val="21"/>
          <w:lang w:eastAsia="zh-CN"/>
        </w:rPr>
        <w:t>谈判供应商</w:t>
      </w:r>
      <w:r>
        <w:rPr>
          <w:rFonts w:hint="eastAsia" w:ascii="宋体" w:hAnsi="宋体" w:eastAsia="宋体" w:cs="宋体"/>
          <w:sz w:val="21"/>
          <w:szCs w:val="21"/>
        </w:rPr>
        <w:t>资格要求</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法定代表人为同一个人的两个及两个以上法人，母公司、全资子公司及其控股公司，都不得在同一采购项目相同标段中同时参加</w:t>
      </w:r>
      <w:r>
        <w:rPr>
          <w:rFonts w:hint="eastAsia" w:ascii="宋体" w:hAnsi="宋体" w:eastAsia="宋体" w:cs="宋体"/>
          <w:sz w:val="21"/>
          <w:szCs w:val="21"/>
          <w:lang w:eastAsia="zh-CN"/>
        </w:rPr>
        <w:t>谈判</w:t>
      </w:r>
      <w:r>
        <w:rPr>
          <w:rFonts w:hint="eastAsia" w:ascii="宋体" w:hAnsi="宋体" w:eastAsia="宋体" w:cs="宋体"/>
          <w:sz w:val="21"/>
          <w:szCs w:val="21"/>
        </w:rPr>
        <w:t>，一经发现，将视同围标处理。</w:t>
      </w:r>
    </w:p>
    <w:p>
      <w:pPr>
        <w:spacing w:line="4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谈判供应商其它资格要求：</w:t>
      </w:r>
    </w:p>
    <w:p>
      <w:pPr>
        <w:numPr>
          <w:ilvl w:val="0"/>
          <w:numId w:val="1"/>
        </w:numPr>
        <w:spacing w:line="480" w:lineRule="exact"/>
        <w:ind w:firstLine="420" w:firstLineChars="200"/>
        <w:rPr>
          <w:rFonts w:hint="default" w:eastAsia="宋体"/>
          <w:lang w:val="en-US" w:eastAsia="zh-CN"/>
        </w:rPr>
      </w:pPr>
      <w:r>
        <w:rPr>
          <w:rFonts w:hint="eastAsia" w:ascii="宋体" w:hAnsi="宋体" w:eastAsia="宋体" w:cs="宋体"/>
          <w:sz w:val="21"/>
          <w:szCs w:val="21"/>
        </w:rPr>
        <w:t>投标供应商必须具有独立的法人资格，提供有效的营业执照及税务登记证（或者是三证合一的营业执照），有能力提供本次采购项目所要求的服务。</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ascii="宋体" w:hAnsi="宋体" w:eastAsia="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5</w:t>
      </w:r>
      <w:r>
        <w:rPr>
          <w:rFonts w:hint="eastAsia" w:ascii="宋体" w:hAnsi="宋体" w:eastAsia="宋体" w:cs="宋体"/>
          <w:sz w:val="21"/>
          <w:szCs w:val="21"/>
        </w:rPr>
        <w:t>月-2019年</w:t>
      </w:r>
      <w:r>
        <w:rPr>
          <w:rFonts w:hint="eastAsia" w:ascii="宋体" w:hAnsi="宋体" w:eastAsia="宋体" w:cs="宋体"/>
          <w:sz w:val="21"/>
          <w:szCs w:val="21"/>
          <w:lang w:val="en-US" w:eastAsia="zh-CN"/>
        </w:rPr>
        <w:t>10</w:t>
      </w:r>
      <w:r>
        <w:rPr>
          <w:rFonts w:hint="eastAsia" w:ascii="宋体" w:hAnsi="宋体" w:eastAsia="宋体" w:cs="宋体"/>
          <w:sz w:val="21"/>
          <w:szCs w:val="21"/>
        </w:rPr>
        <w:t>月连续六个月的养老保险缴费清单复印件】。</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、供应商须提供参与本次项目政府采购活动前三年内，在经营活动中没有重大违法记录的书面《无重大违法记录声明函》（格式参见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、关于资格文件的声明函（格式参见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本项目不接受任何形式的联合体参加</w:t>
      </w:r>
      <w:r>
        <w:rPr>
          <w:rFonts w:hint="eastAsia" w:ascii="宋体" w:hAnsi="宋体" w:eastAsia="宋体" w:cs="宋体"/>
          <w:sz w:val="21"/>
          <w:szCs w:val="21"/>
          <w:lang w:val="en-US" w:eastAsia="zh-CN"/>
        </w:rPr>
        <w:t>谈判</w:t>
      </w:r>
      <w:r>
        <w:rPr>
          <w:rFonts w:hint="eastAsia" w:ascii="宋体" w:hAnsi="宋体" w:eastAsia="宋体" w:cs="宋体"/>
          <w:sz w:val="21"/>
          <w:szCs w:val="21"/>
        </w:rPr>
        <w:t>。</w:t>
      </w:r>
    </w:p>
    <w:p>
      <w:pPr>
        <w:spacing w:line="360" w:lineRule="auto"/>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b/>
          <w:sz w:val="21"/>
          <w:szCs w:val="21"/>
        </w:rPr>
        <w:t>具体资格要求详见本竞争性谈判文件第</w:t>
      </w:r>
      <w:r>
        <w:rPr>
          <w:rFonts w:hint="eastAsia" w:ascii="宋体" w:hAnsi="宋体" w:eastAsia="宋体" w:cs="宋体"/>
          <w:b/>
          <w:sz w:val="21"/>
          <w:szCs w:val="21"/>
          <w:lang w:val="en-US" w:eastAsia="zh-CN"/>
        </w:rPr>
        <w:t>八</w:t>
      </w:r>
      <w:r>
        <w:rPr>
          <w:rFonts w:hint="eastAsia" w:ascii="宋体" w:hAnsi="宋体" w:eastAsia="宋体" w:cs="宋体"/>
          <w:b/>
          <w:sz w:val="21"/>
          <w:szCs w:val="21"/>
        </w:rPr>
        <w:t xml:space="preserve">章中“资格审查文件”。 </w:t>
      </w:r>
    </w:p>
    <w:p>
      <w:pPr>
        <w:keepNext w:val="0"/>
        <w:keepLines w:val="0"/>
        <w:pageBreakBefore w:val="0"/>
        <w:kinsoku/>
        <w:wordWrap/>
        <w:overflowPunct/>
        <w:topLinePunct w:val="0"/>
        <w:autoSpaceDE/>
        <w:autoSpaceDN/>
        <w:bidi w:val="0"/>
        <w:adjustRightInd/>
        <w:snapToGrid w:val="0"/>
        <w:spacing w:line="360" w:lineRule="auto"/>
        <w:ind w:firstLine="210" w:firstLineChars="100"/>
        <w:contextualSpacing/>
        <w:textAlignment w:val="auto"/>
        <w:rPr>
          <w:rFonts w:hint="eastAsia" w:ascii="宋体" w:hAnsi="宋体" w:eastAsia="宋体" w:cs="宋体"/>
          <w:sz w:val="21"/>
          <w:szCs w:val="21"/>
        </w:rPr>
      </w:pPr>
      <w:r>
        <w:rPr>
          <w:rFonts w:hint="eastAsia" w:ascii="宋体" w:hAnsi="宋体" w:eastAsia="宋体" w:cs="宋体"/>
          <w:sz w:val="21"/>
          <w:szCs w:val="21"/>
        </w:rPr>
        <w:t xml:space="preserve">  请谈判供应商认真对照资格要求，如不符合要求，无意或故意参与</w:t>
      </w:r>
      <w:r>
        <w:rPr>
          <w:rFonts w:hint="eastAsia" w:ascii="宋体" w:hAnsi="宋体" w:eastAsia="宋体" w:cs="宋体"/>
          <w:sz w:val="21"/>
          <w:szCs w:val="21"/>
          <w:lang w:eastAsia="zh-CN"/>
        </w:rPr>
        <w:t>谈判</w:t>
      </w:r>
      <w:r>
        <w:rPr>
          <w:rFonts w:hint="eastAsia" w:ascii="宋体" w:hAnsi="宋体" w:eastAsia="宋体" w:cs="宋体"/>
          <w:sz w:val="21"/>
          <w:szCs w:val="21"/>
        </w:rPr>
        <w:t>的，所产生的一切后果由谈判供应商承担。</w:t>
      </w:r>
    </w:p>
    <w:p>
      <w:pPr>
        <w:keepNext w:val="0"/>
        <w:keepLines w:val="0"/>
        <w:pageBreakBefore w:val="0"/>
        <w:kinsoku/>
        <w:wordWrap/>
        <w:overflowPunct/>
        <w:topLinePunct w:val="0"/>
        <w:autoSpaceDE/>
        <w:autoSpaceDN/>
        <w:bidi w:val="0"/>
        <w:adjustRightInd/>
        <w:snapToGrid w:val="0"/>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cs="宋体"/>
          <w:color w:val="000000"/>
          <w:kern w:val="0"/>
          <w:sz w:val="21"/>
          <w:szCs w:val="21"/>
          <w:lang w:val="en-US" w:eastAsia="zh-CN"/>
        </w:rPr>
        <w:t>五</w:t>
      </w:r>
      <w:r>
        <w:rPr>
          <w:rFonts w:hint="eastAsia" w:ascii="宋体" w:hAnsi="宋体" w:eastAsia="宋体" w:cs="宋体"/>
          <w:color w:val="000000"/>
          <w:kern w:val="0"/>
          <w:sz w:val="21"/>
          <w:szCs w:val="21"/>
        </w:rPr>
        <w:t>、</w:t>
      </w:r>
      <w:r>
        <w:rPr>
          <w:rFonts w:hint="eastAsia" w:ascii="宋体" w:hAnsi="宋体" w:eastAsia="宋体" w:cs="宋体"/>
          <w:sz w:val="21"/>
          <w:szCs w:val="21"/>
        </w:rPr>
        <w:t>谈判响应文件接收截止及评审谈判开始时间：</w:t>
      </w:r>
      <w:r>
        <w:rPr>
          <w:rFonts w:hint="eastAsia" w:ascii="宋体" w:hAnsi="宋体" w:eastAsia="宋体" w:cs="宋体"/>
          <w:b/>
          <w:bCs/>
          <w:sz w:val="21"/>
          <w:szCs w:val="21"/>
        </w:rPr>
        <w:t>2019年</w:t>
      </w:r>
      <w:r>
        <w:rPr>
          <w:rFonts w:hint="eastAsia" w:ascii="宋体" w:hAnsi="宋体" w:cs="宋体"/>
          <w:b/>
          <w:bCs/>
          <w:sz w:val="21"/>
          <w:szCs w:val="21"/>
          <w:lang w:val="en-US" w:eastAsia="zh-CN"/>
        </w:rPr>
        <w:t>12</w:t>
      </w:r>
      <w:r>
        <w:rPr>
          <w:rFonts w:hint="eastAsia" w:ascii="宋体" w:hAnsi="宋体" w:eastAsia="宋体" w:cs="宋体"/>
          <w:b/>
          <w:bCs/>
          <w:sz w:val="21"/>
          <w:szCs w:val="21"/>
        </w:rPr>
        <w:t>月</w:t>
      </w:r>
      <w:r>
        <w:rPr>
          <w:rFonts w:hint="eastAsia" w:ascii="宋体" w:hAnsi="宋体" w:cs="宋体"/>
          <w:b/>
          <w:bCs/>
          <w:sz w:val="21"/>
          <w:szCs w:val="21"/>
          <w:lang w:val="en-US" w:eastAsia="zh-CN"/>
        </w:rPr>
        <w:t>21</w:t>
      </w:r>
      <w:r>
        <w:rPr>
          <w:rFonts w:hint="eastAsia" w:ascii="宋体" w:hAnsi="宋体" w:eastAsia="宋体" w:cs="宋体"/>
          <w:b/>
          <w:bCs/>
          <w:sz w:val="21"/>
          <w:szCs w:val="21"/>
        </w:rPr>
        <w:t>日</w:t>
      </w:r>
      <w:r>
        <w:rPr>
          <w:rFonts w:hint="eastAsia" w:ascii="宋体" w:hAnsi="宋体" w:cs="宋体"/>
          <w:b/>
          <w:bCs/>
          <w:sz w:val="21"/>
          <w:szCs w:val="21"/>
          <w:lang w:val="en-US" w:eastAsia="zh-CN"/>
        </w:rPr>
        <w:t>13</w:t>
      </w:r>
      <w:r>
        <w:rPr>
          <w:rFonts w:hint="eastAsia" w:ascii="宋体" w:hAnsi="宋体" w:eastAsia="宋体" w:cs="宋体"/>
          <w:b/>
          <w:bCs/>
          <w:sz w:val="21"/>
          <w:szCs w:val="21"/>
        </w:rPr>
        <w:t>时</w:t>
      </w:r>
      <w:r>
        <w:rPr>
          <w:rFonts w:hint="eastAsia" w:ascii="宋体" w:hAnsi="宋体" w:cs="宋体"/>
          <w:b/>
          <w:bCs/>
          <w:sz w:val="21"/>
          <w:szCs w:val="21"/>
          <w:lang w:val="en-US" w:eastAsia="zh-CN"/>
        </w:rPr>
        <w:t>30</w:t>
      </w:r>
      <w:r>
        <w:rPr>
          <w:rFonts w:hint="eastAsia" w:ascii="宋体" w:hAnsi="宋体" w:eastAsia="宋体" w:cs="宋体"/>
          <w:b/>
          <w:bCs/>
          <w:sz w:val="21"/>
          <w:szCs w:val="21"/>
        </w:rPr>
        <w:t>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六</w:t>
      </w:r>
      <w:r>
        <w:rPr>
          <w:rFonts w:hint="eastAsia" w:ascii="宋体" w:hAnsi="宋体" w:eastAsia="宋体" w:cs="宋体"/>
          <w:sz w:val="21"/>
          <w:szCs w:val="21"/>
        </w:rPr>
        <w:t>、谈判响应文件递交地址：南通市濠南路251号江苏省南通市人民检察院主楼五楼会议室，如有变动另行通知。</w:t>
      </w:r>
    </w:p>
    <w:p>
      <w:pPr>
        <w:keepNext w:val="0"/>
        <w:keepLines w:val="0"/>
        <w:pageBreakBefore w:val="0"/>
        <w:kinsoku/>
        <w:wordWrap/>
        <w:overflowPunct/>
        <w:topLinePunct w:val="0"/>
        <w:autoSpaceDE/>
        <w:autoSpaceDN/>
        <w:bidi w:val="0"/>
        <w:adjustRightInd/>
        <w:snapToGrid w:val="0"/>
        <w:spacing w:line="360" w:lineRule="auto"/>
        <w:ind w:firstLine="422" w:firstLineChars="200"/>
        <w:contextualSpacing/>
        <w:textAlignment w:val="auto"/>
        <w:rPr>
          <w:rFonts w:hint="eastAsia" w:ascii="宋体" w:hAnsi="宋体" w:eastAsia="宋体" w:cs="宋体"/>
          <w:b/>
          <w:bCs/>
          <w:color w:val="000000"/>
          <w:kern w:val="0"/>
          <w:sz w:val="21"/>
          <w:szCs w:val="21"/>
        </w:rPr>
      </w:pPr>
      <w:bookmarkStart w:id="54" w:name="_GoBack"/>
      <w:bookmarkEnd w:id="54"/>
      <w:r>
        <w:rPr>
          <w:rFonts w:hint="eastAsia" w:ascii="宋体" w:hAnsi="宋体" w:cs="宋体"/>
          <w:b/>
          <w:bCs/>
          <w:kern w:val="0"/>
          <w:sz w:val="21"/>
          <w:szCs w:val="21"/>
          <w:lang w:val="en-US" w:eastAsia="zh-CN"/>
        </w:rPr>
        <w:t>七</w:t>
      </w:r>
      <w:r>
        <w:rPr>
          <w:rFonts w:hint="eastAsia" w:ascii="宋体" w:hAnsi="宋体" w:eastAsia="宋体" w:cs="宋体"/>
          <w:b/>
          <w:bCs/>
          <w:color w:val="000000"/>
          <w:kern w:val="0"/>
          <w:sz w:val="21"/>
          <w:szCs w:val="21"/>
        </w:rPr>
        <w:t>、谈判保证金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供应商需缴纳</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保证金</w:t>
      </w:r>
      <w:r>
        <w:rPr>
          <w:rFonts w:hint="eastAsia" w:asciiTheme="minorEastAsia" w:hAnsiTheme="minorEastAsia" w:eastAsiaTheme="minorEastAsia" w:cstheme="minorEastAsia"/>
          <w:sz w:val="21"/>
          <w:szCs w:val="21"/>
          <w:u w:val="single"/>
          <w:lang w:eastAsia="zh-CN"/>
        </w:rPr>
        <w:t>叁</w:t>
      </w:r>
      <w:r>
        <w:rPr>
          <w:rFonts w:hint="eastAsia" w:asciiTheme="minorEastAsia" w:hAnsiTheme="minorEastAsia" w:eastAsiaTheme="minorEastAsia" w:cstheme="minorEastAsia"/>
          <w:sz w:val="21"/>
          <w:szCs w:val="21"/>
          <w:u w:val="single"/>
        </w:rPr>
        <w:t>仟元整（</w:t>
      </w:r>
      <w:r>
        <w:rPr>
          <w:rFonts w:hint="eastAsia" w:asciiTheme="minorEastAsia" w:hAnsiTheme="minorEastAsia" w:eastAsiaTheme="minorEastAsia" w:cstheme="minorEastAsia"/>
          <w:sz w:val="21"/>
          <w:szCs w:val="21"/>
          <w:u w:val="single"/>
          <w:lang w:val="en-US" w:eastAsia="zh-CN"/>
        </w:rPr>
        <w:t>3</w:t>
      </w:r>
      <w:r>
        <w:rPr>
          <w:rFonts w:hint="eastAsia" w:asciiTheme="minorEastAsia" w:hAnsiTheme="minorEastAsia" w:eastAsiaTheme="minorEastAsia" w:cstheme="minorEastAsia"/>
          <w:sz w:val="21"/>
          <w:szCs w:val="21"/>
          <w:u w:val="single"/>
        </w:rPr>
        <w:t>000元）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保证金一律采用</w:t>
      </w:r>
      <w:r>
        <w:rPr>
          <w:rFonts w:hint="eastAsia" w:asciiTheme="minorEastAsia" w:hAnsiTheme="minorEastAsia" w:eastAsiaTheme="minorEastAsia" w:cstheme="minorEastAsia"/>
          <w:b/>
          <w:sz w:val="21"/>
          <w:szCs w:val="21"/>
          <w:u w:val="single"/>
        </w:rPr>
        <w:t>银行汇票、现金支票或转账支票</w:t>
      </w:r>
      <w:r>
        <w:rPr>
          <w:rFonts w:hint="eastAsia" w:asciiTheme="minorEastAsia" w:hAnsiTheme="minorEastAsia" w:eastAsiaTheme="minorEastAsia" w:cstheme="minorEastAsia"/>
          <w:sz w:val="21"/>
          <w:szCs w:val="21"/>
        </w:rPr>
        <w:t>形式递交，拒绝其他方式递交</w:t>
      </w:r>
      <w:r>
        <w:rPr>
          <w:rFonts w:hint="eastAsia" w:asciiTheme="minorEastAsia" w:hAnsiTheme="minorEastAsia" w:eastAsiaTheme="minorEastAsia" w:cstheme="minorEastAsia"/>
          <w:b/>
          <w:bCs/>
          <w:color w:val="FF0000"/>
          <w:sz w:val="21"/>
          <w:szCs w:val="21"/>
          <w:u w:val="double"/>
        </w:rPr>
        <w:t>（请勿直接转账到采购人账户）</w:t>
      </w:r>
      <w:r>
        <w:rPr>
          <w:rFonts w:hint="eastAsia" w:asciiTheme="minorEastAsia" w:hAnsiTheme="minorEastAsia" w:eastAsiaTheme="minorEastAsia" w:cstheme="minorEastAsia"/>
          <w:sz w:val="21"/>
          <w:szCs w:val="21"/>
        </w:rPr>
        <w:t>，并在汇票或支票上注明“</w:t>
      </w:r>
      <w:r>
        <w:rPr>
          <w:rFonts w:hint="eastAsia" w:asciiTheme="minorEastAsia" w:hAnsiTheme="minorEastAsia" w:eastAsiaTheme="minorEastAsia" w:cstheme="minorEastAsia"/>
          <w:b/>
          <w:bCs/>
          <w:sz w:val="21"/>
          <w:szCs w:val="21"/>
          <w:u w:val="single"/>
        </w:rPr>
        <w:t>检察院</w:t>
      </w:r>
      <w:r>
        <w:rPr>
          <w:rFonts w:hint="eastAsia" w:asciiTheme="minorEastAsia" w:hAnsiTheme="minorEastAsia" w:eastAsiaTheme="minorEastAsia" w:cstheme="minorEastAsia"/>
          <w:b/>
          <w:bCs/>
          <w:sz w:val="21"/>
          <w:szCs w:val="21"/>
          <w:u w:val="single"/>
          <w:lang w:eastAsia="zh-CN"/>
        </w:rPr>
        <w:t>谈判</w:t>
      </w:r>
      <w:r>
        <w:rPr>
          <w:rFonts w:hint="eastAsia" w:asciiTheme="minorEastAsia" w:hAnsiTheme="minorEastAsia" w:eastAsiaTheme="minorEastAsia" w:cstheme="minorEastAsia"/>
          <w:b/>
          <w:bCs/>
          <w:sz w:val="21"/>
          <w:szCs w:val="21"/>
          <w:u w:val="single"/>
        </w:rPr>
        <w:t>保证金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银行汇票、现金支票或转账支票</w:t>
      </w:r>
      <w:r>
        <w:rPr>
          <w:rFonts w:hint="eastAsia" w:asciiTheme="minorEastAsia" w:hAnsiTheme="minorEastAsia" w:eastAsiaTheme="minorEastAsia" w:cstheme="minorEastAsia"/>
          <w:sz w:val="21"/>
          <w:szCs w:val="21"/>
        </w:rPr>
        <w:t>带至开标现场在递交</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 xml:space="preserve">响应文件时交给采购单位。 </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保证金上必须注明收款人为：</w:t>
      </w:r>
      <w:r>
        <w:rPr>
          <w:rStyle w:val="24"/>
          <w:rFonts w:hint="eastAsia" w:asciiTheme="minorEastAsia" w:hAnsiTheme="minorEastAsia" w:eastAsiaTheme="minorEastAsia" w:cstheme="minorEastAsia"/>
          <w:sz w:val="21"/>
          <w:szCs w:val="21"/>
        </w:rPr>
        <w:t>南通市财政局</w:t>
      </w:r>
      <w:r>
        <w:rPr>
          <w:rFonts w:hint="eastAsia" w:asciiTheme="minorEastAsia" w:hAnsiTheme="minorEastAsia" w:eastAsiaTheme="minorEastAsia" w:cstheme="minorEastAsia"/>
          <w:b/>
          <w:bCs/>
          <w:sz w:val="21"/>
          <w:szCs w:val="21"/>
        </w:rPr>
        <w:t>，用途为：</w:t>
      </w:r>
      <w:r>
        <w:rPr>
          <w:rFonts w:hint="eastAsia" w:asciiTheme="minorEastAsia" w:hAnsiTheme="minorEastAsia" w:eastAsiaTheme="minorEastAsia" w:cstheme="minorEastAsia"/>
          <w:b/>
          <w:bCs/>
          <w:sz w:val="21"/>
          <w:szCs w:val="21"/>
          <w:u w:val="single"/>
        </w:rPr>
        <w:t>检察院</w:t>
      </w:r>
      <w:r>
        <w:rPr>
          <w:rFonts w:hint="eastAsia" w:asciiTheme="minorEastAsia" w:hAnsiTheme="minorEastAsia" w:eastAsiaTheme="minorEastAsia" w:cstheme="minorEastAsia"/>
          <w:b/>
          <w:bCs/>
          <w:sz w:val="21"/>
          <w:szCs w:val="21"/>
          <w:u w:val="single"/>
          <w:lang w:eastAsia="zh-CN"/>
        </w:rPr>
        <w:t>谈判</w:t>
      </w:r>
      <w:r>
        <w:rPr>
          <w:rFonts w:hint="eastAsia" w:asciiTheme="minorEastAsia" w:hAnsiTheme="minorEastAsia" w:eastAsiaTheme="minorEastAsia" w:cstheme="minorEastAsia"/>
          <w:b/>
          <w:bCs/>
          <w:sz w:val="21"/>
          <w:szCs w:val="21"/>
          <w:u w:val="single"/>
        </w:rPr>
        <w:t>保证金</w:t>
      </w:r>
      <w:r>
        <w:rPr>
          <w:rFonts w:hint="eastAsia" w:asciiTheme="minorEastAsia" w:hAnsiTheme="minorEastAsia" w:eastAsiaTheme="minorEastAsia" w:cstheme="minorEastAsia"/>
          <w:b/>
          <w:bCs/>
          <w:sz w:val="21"/>
          <w:szCs w:val="21"/>
        </w:rPr>
        <w:t>；汇款人为：</w:t>
      </w:r>
      <w:r>
        <w:rPr>
          <w:rFonts w:hint="eastAsia" w:asciiTheme="minorEastAsia" w:hAnsiTheme="minorEastAsia" w:eastAsiaTheme="minorEastAsia" w:cstheme="minorEastAsia"/>
          <w:b/>
          <w:bCs/>
          <w:sz w:val="21"/>
          <w:szCs w:val="21"/>
          <w:u w:val="single"/>
        </w:rPr>
        <w:t>供应商名称</w:t>
      </w:r>
      <w:r>
        <w:rPr>
          <w:rFonts w:hint="eastAsia" w:asciiTheme="minorEastAsia" w:hAnsiTheme="minorEastAsia" w:eastAsiaTheme="minorEastAsia" w:cstheme="minorEastAsia"/>
          <w:b/>
          <w:bCs/>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账  户： </w:t>
      </w:r>
      <w:r>
        <w:rPr>
          <w:rFonts w:hint="eastAsia" w:asciiTheme="minorEastAsia" w:hAnsiTheme="minorEastAsia" w:eastAsiaTheme="minorEastAsia" w:cstheme="minorEastAsia"/>
          <w:kern w:val="0"/>
          <w:sz w:val="21"/>
          <w:szCs w:val="21"/>
        </w:rPr>
        <w:t>南通市财政局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开户行： </w:t>
      </w:r>
      <w:r>
        <w:rPr>
          <w:rFonts w:hint="eastAsia" w:asciiTheme="minorEastAsia" w:hAnsiTheme="minorEastAsia" w:eastAsiaTheme="minorEastAsia" w:cstheme="minorEastAsia"/>
          <w:kern w:val="0"/>
          <w:sz w:val="21"/>
          <w:szCs w:val="21"/>
        </w:rPr>
        <w:t>中行西被闸支行</w:t>
      </w:r>
    </w:p>
    <w:p>
      <w:pPr>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开户账号: </w:t>
      </w:r>
      <w:r>
        <w:rPr>
          <w:rFonts w:hint="eastAsia" w:asciiTheme="minorEastAsia" w:hAnsiTheme="minorEastAsia" w:eastAsiaTheme="minorEastAsia" w:cstheme="minorEastAsia"/>
          <w:kern w:val="0"/>
          <w:sz w:val="21"/>
          <w:szCs w:val="21"/>
        </w:rPr>
        <w:t>471558227682</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保证金不得密封在</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响应文件内，未按上述要求提交</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保证金的供应商，采购单位有权拒绝其</w:t>
      </w:r>
      <w:r>
        <w:rPr>
          <w:rFonts w:hint="eastAsia" w:asciiTheme="minorEastAsia" w:hAnsiTheme="minorEastAsia" w:eastAsiaTheme="minorEastAsia" w:cstheme="minorEastAsia"/>
          <w:b/>
          <w:bCs/>
          <w:sz w:val="21"/>
          <w:szCs w:val="21"/>
          <w:lang w:eastAsia="zh-CN"/>
        </w:rPr>
        <w:t>谈判</w:t>
      </w:r>
      <w:r>
        <w:rPr>
          <w:rFonts w:hint="eastAsia" w:asciiTheme="minorEastAsia" w:hAnsiTheme="minorEastAsia" w:eastAsiaTheme="minorEastAsia" w:cstheme="minorEastAsia"/>
          <w:b/>
          <w:bCs/>
          <w:sz w:val="21"/>
          <w:szCs w:val="21"/>
        </w:rPr>
        <w:t>响应文件。</w:t>
      </w:r>
    </w:p>
    <w:p>
      <w:pPr>
        <w:keepNext w:val="0"/>
        <w:keepLines w:val="0"/>
        <w:pageBreakBefore w:val="0"/>
        <w:kinsoku/>
        <w:wordWrap/>
        <w:overflowPunct/>
        <w:topLinePunct w:val="0"/>
        <w:autoSpaceDE/>
        <w:autoSpaceDN/>
        <w:bidi w:val="0"/>
        <w:adjustRightInd/>
        <w:snapToGrid w:val="0"/>
        <w:spacing w:line="360" w:lineRule="auto"/>
        <w:ind w:firstLine="422" w:firstLineChars="200"/>
        <w:contextualSpacing/>
        <w:textAlignment w:val="auto"/>
        <w:rPr>
          <w:rFonts w:hint="eastAsia" w:ascii="宋体" w:hAnsi="宋体" w:eastAsia="宋体" w:cs="宋体"/>
          <w:b/>
          <w:bCs/>
          <w:kern w:val="0"/>
          <w:sz w:val="21"/>
          <w:szCs w:val="21"/>
          <w:highlight w:val="none"/>
        </w:rPr>
      </w:pPr>
      <w:r>
        <w:rPr>
          <w:rFonts w:hint="eastAsia" w:ascii="宋体" w:hAnsi="宋体" w:eastAsia="宋体" w:cs="宋体"/>
          <w:b/>
          <w:bCs/>
          <w:color w:val="000000"/>
          <w:kern w:val="0"/>
          <w:sz w:val="21"/>
          <w:szCs w:val="21"/>
          <w:lang w:val="en-US" w:eastAsia="zh-CN"/>
        </w:rPr>
        <w:t>九</w:t>
      </w:r>
      <w:r>
        <w:rPr>
          <w:rFonts w:hint="eastAsia" w:ascii="宋体" w:hAnsi="宋体" w:eastAsia="宋体" w:cs="宋体"/>
          <w:b/>
          <w:bCs/>
          <w:kern w:val="0"/>
          <w:sz w:val="21"/>
          <w:szCs w:val="21"/>
        </w:rPr>
        <w:t>、</w:t>
      </w:r>
      <w:r>
        <w:rPr>
          <w:rFonts w:hint="eastAsia" w:ascii="宋体" w:hAnsi="宋体" w:eastAsia="宋体" w:cs="宋体"/>
          <w:b/>
          <w:bCs/>
          <w:kern w:val="0"/>
          <w:sz w:val="21"/>
          <w:szCs w:val="21"/>
          <w:highlight w:val="none"/>
        </w:rPr>
        <w:t>联系方式：</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采购单位：江苏省南通市人民检察院</w:t>
      </w:r>
    </w:p>
    <w:p>
      <w:pPr>
        <w:spacing w:line="480" w:lineRule="exact"/>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采购单位联系人：王主任        联系电话：13921670203</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代理机构：南通正扬工程项目管理有限公司</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地址：南通市崇川区青年东路255号4号楼213室</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联系人：李艳梅              联系电话：17778751998</w:t>
      </w:r>
    </w:p>
    <w:p>
      <w:pPr>
        <w:widowControl/>
        <w:spacing w:line="48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邮箱号码：</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"mailto:fgyjszx2@163.com"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1205007749@qq.com</w:t>
      </w:r>
      <w:r>
        <w:rPr>
          <w:rFonts w:hint="eastAsia" w:asciiTheme="minorEastAsia" w:hAnsiTheme="minorEastAsia" w:eastAsiaTheme="minorEastAsia" w:cstheme="minorEastAsia"/>
          <w:sz w:val="21"/>
          <w:szCs w:val="21"/>
        </w:rPr>
        <w:fldChar w:fldCharType="end"/>
      </w:r>
    </w:p>
    <w:p>
      <w:pPr>
        <w:spacing w:line="500" w:lineRule="exact"/>
        <w:ind w:firstLine="422" w:firstLineChars="200"/>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lang w:val="en-US" w:eastAsia="zh-CN"/>
        </w:rPr>
        <w:t>十</w:t>
      </w:r>
      <w:r>
        <w:rPr>
          <w:rFonts w:hint="eastAsia" w:asciiTheme="minorEastAsia" w:hAnsiTheme="minorEastAsia" w:eastAsiaTheme="minorEastAsia" w:cstheme="minorEastAsia"/>
          <w:b/>
          <w:bCs/>
          <w:kern w:val="0"/>
          <w:sz w:val="21"/>
          <w:szCs w:val="21"/>
        </w:rPr>
        <w:t>、招标公告发布地址</w:t>
      </w:r>
    </w:p>
    <w:p>
      <w:pPr>
        <w:spacing w:line="50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1、本次采购的有关信息将在</w:t>
      </w:r>
      <w:r>
        <w:rPr>
          <w:rFonts w:hint="eastAsia" w:asciiTheme="minorEastAsia" w:hAnsiTheme="minorEastAsia" w:eastAsiaTheme="minorEastAsia" w:cstheme="minorEastAsia"/>
          <w:b/>
          <w:kern w:val="0"/>
          <w:sz w:val="21"/>
          <w:szCs w:val="21"/>
        </w:rPr>
        <w:t>江苏省南通市人民检察院官网</w:t>
      </w:r>
      <w:r>
        <w:rPr>
          <w:rFonts w:hint="eastAsia" w:asciiTheme="minorEastAsia" w:hAnsiTheme="minorEastAsia" w:eastAsiaTheme="minorEastAsia" w:cstheme="minorEastAsia"/>
          <w:kern w:val="0"/>
          <w:sz w:val="21"/>
          <w:szCs w:val="21"/>
        </w:rPr>
        <w:t>发布，敬请留意。</w:t>
      </w:r>
    </w:p>
    <w:p>
      <w:pPr>
        <w:widowControl/>
        <w:spacing w:line="600" w:lineRule="exact"/>
        <w:ind w:left="1"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2、有关本次招标的事项若存在变动或修改，敬请及时关注江苏省南通市人民检察院官网发布的信息更正公告，恕不另行通知，如有遗漏招标采购人概不负责。</w:t>
      </w:r>
    </w:p>
    <w:p>
      <w:pPr>
        <w:spacing w:line="50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pPr>
        <w:pStyle w:val="8"/>
        <w:tabs>
          <w:tab w:val="left" w:pos="1050"/>
          <w:tab w:val="right" w:leader="dot" w:pos="9402"/>
        </w:tabs>
        <w:spacing w:line="360" w:lineRule="auto"/>
        <w:ind w:left="0"/>
        <w:jc w:val="center"/>
        <w:outlineLvl w:val="0"/>
        <w:rPr>
          <w:rFonts w:hint="eastAsia" w:ascii="宋体" w:hAnsi="宋体" w:eastAsia="宋体" w:cs="宋体"/>
          <w:b/>
          <w:i w:val="0"/>
          <w:w w:val="80"/>
          <w:sz w:val="32"/>
          <w:szCs w:val="32"/>
        </w:rPr>
      </w:pPr>
      <w:r>
        <w:rPr>
          <w:rFonts w:hint="eastAsia" w:ascii="宋体" w:hAnsi="宋体" w:eastAsia="宋体" w:cs="宋体"/>
          <w:b/>
          <w:i w:val="0"/>
          <w:w w:val="80"/>
          <w:sz w:val="21"/>
          <w:szCs w:val="21"/>
        </w:rPr>
        <w:br w:type="page"/>
      </w:r>
      <w:bookmarkStart w:id="4" w:name="_Toc446695376"/>
      <w:r>
        <w:rPr>
          <w:rFonts w:hint="eastAsia" w:ascii="宋体" w:hAnsi="宋体" w:eastAsia="宋体" w:cs="宋体"/>
          <w:b/>
          <w:bCs/>
          <w:i w:val="0"/>
          <w:kern w:val="44"/>
          <w:sz w:val="32"/>
          <w:szCs w:val="32"/>
          <w:lang w:val="zh-CN"/>
        </w:rPr>
        <w:t>第二章 谈判供应商须知</w:t>
      </w:r>
      <w:bookmarkEnd w:id="4"/>
    </w:p>
    <w:p>
      <w:pPr>
        <w:numPr>
          <w:ilvl w:val="0"/>
          <w:numId w:val="2"/>
        </w:numPr>
        <w:snapToGrid w:val="0"/>
        <w:spacing w:line="520" w:lineRule="exact"/>
        <w:outlineLvl w:val="1"/>
        <w:rPr>
          <w:rFonts w:hint="eastAsia" w:ascii="宋体" w:hAnsi="宋体" w:eastAsia="宋体" w:cs="宋体"/>
          <w:b/>
          <w:bCs/>
          <w:sz w:val="28"/>
          <w:szCs w:val="28"/>
        </w:rPr>
      </w:pPr>
      <w:bookmarkStart w:id="5" w:name="_Toc446695377"/>
      <w:r>
        <w:rPr>
          <w:rFonts w:hint="eastAsia" w:ascii="宋体" w:hAnsi="宋体" w:eastAsia="宋体" w:cs="宋体"/>
          <w:b/>
          <w:bCs/>
          <w:sz w:val="28"/>
          <w:szCs w:val="28"/>
        </w:rPr>
        <w:t>说明</w:t>
      </w:r>
      <w:bookmarkEnd w:id="5"/>
    </w:p>
    <w:p>
      <w:pPr>
        <w:numPr>
          <w:ilvl w:val="0"/>
          <w:numId w:val="0"/>
        </w:numPr>
        <w:snapToGrid w:val="0"/>
        <w:spacing w:line="520" w:lineRule="exact"/>
        <w:outlineLvl w:val="1"/>
        <w:rPr>
          <w:rFonts w:hint="eastAsia" w:ascii="宋体" w:hAnsi="宋体" w:eastAsia="宋体" w:cs="宋体"/>
          <w:bCs/>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bCs/>
          <w:sz w:val="21"/>
          <w:szCs w:val="21"/>
        </w:rPr>
        <w:t>竞争性谈判活动及因本次谈判产生的合同受中国法律制约和保护。</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bCs/>
          <w:sz w:val="21"/>
          <w:szCs w:val="21"/>
        </w:rPr>
        <w:t>、</w:t>
      </w:r>
      <w:r>
        <w:rPr>
          <w:rFonts w:hint="eastAsia" w:ascii="宋体" w:hAnsi="宋体" w:eastAsia="宋体" w:cs="宋体"/>
          <w:sz w:val="21"/>
          <w:szCs w:val="21"/>
          <w:lang w:eastAsia="zh-CN"/>
        </w:rPr>
        <w:t>谈判供应商</w:t>
      </w:r>
      <w:r>
        <w:rPr>
          <w:rFonts w:hint="eastAsia" w:ascii="宋体" w:hAnsi="宋体" w:eastAsia="宋体" w:cs="宋体"/>
          <w:sz w:val="21"/>
          <w:szCs w:val="21"/>
        </w:rPr>
        <w:t>下载谈判文件后，应仔细检查谈判文件的所有内容。如内容中有页码短缺、资格要求以及任何设置有不合理的条件对</w:t>
      </w:r>
      <w:r>
        <w:rPr>
          <w:rFonts w:hint="eastAsia" w:ascii="宋体" w:hAnsi="宋体" w:eastAsia="宋体" w:cs="宋体"/>
          <w:sz w:val="21"/>
          <w:szCs w:val="21"/>
          <w:lang w:eastAsia="zh-CN"/>
        </w:rPr>
        <w:t>谈判供应商</w:t>
      </w:r>
      <w:r>
        <w:rPr>
          <w:rFonts w:hint="eastAsia" w:ascii="宋体" w:hAnsi="宋体" w:eastAsia="宋体" w:cs="宋体"/>
          <w:sz w:val="21"/>
          <w:szCs w:val="21"/>
        </w:rPr>
        <w:t>实行差别待遇或者歧视待遇的，应在谈判文件发布后</w:t>
      </w:r>
      <w:r>
        <w:rPr>
          <w:rFonts w:hint="eastAsia" w:ascii="宋体" w:hAnsi="宋体" w:eastAsia="宋体" w:cs="宋体"/>
          <w:color w:val="000000"/>
          <w:sz w:val="21"/>
          <w:szCs w:val="21"/>
        </w:rPr>
        <w:t>2个工作日内</w:t>
      </w:r>
      <w:r>
        <w:rPr>
          <w:rFonts w:hint="eastAsia" w:ascii="宋体" w:hAnsi="宋体" w:eastAsia="宋体" w:cs="宋体"/>
          <w:sz w:val="21"/>
          <w:szCs w:val="21"/>
        </w:rPr>
        <w:t>，以书面形式向代理机构提出询问或疑问，未在规定的时间内提出询问或疑问的，视同理解并接受本谈判文件的所有内容，因此引起的损失由</w:t>
      </w:r>
      <w:r>
        <w:rPr>
          <w:rFonts w:hint="eastAsia" w:ascii="宋体" w:hAnsi="宋体" w:eastAsia="宋体" w:cs="宋体"/>
          <w:sz w:val="21"/>
          <w:szCs w:val="21"/>
          <w:lang w:eastAsia="zh-CN"/>
        </w:rPr>
        <w:t>谈判供应商</w:t>
      </w:r>
      <w:r>
        <w:rPr>
          <w:rFonts w:hint="eastAsia" w:ascii="宋体" w:hAnsi="宋体" w:eastAsia="宋体" w:cs="宋体"/>
          <w:sz w:val="21"/>
          <w:szCs w:val="21"/>
        </w:rPr>
        <w:t>自负，而且</w:t>
      </w:r>
      <w:r>
        <w:rPr>
          <w:rFonts w:hint="eastAsia" w:ascii="宋体" w:hAnsi="宋体" w:eastAsia="宋体" w:cs="宋体"/>
          <w:sz w:val="21"/>
          <w:szCs w:val="21"/>
          <w:lang w:eastAsia="zh-CN"/>
        </w:rPr>
        <w:t>谈判供应商</w:t>
      </w:r>
      <w:r>
        <w:rPr>
          <w:rFonts w:hint="eastAsia" w:ascii="宋体" w:hAnsi="宋体" w:eastAsia="宋体" w:cs="宋体"/>
          <w:sz w:val="21"/>
          <w:szCs w:val="21"/>
        </w:rPr>
        <w:t>不得在谈判结束后针对谈判文件的所有内容提出质疑事项。</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w:t>
      </w:r>
      <w:r>
        <w:rPr>
          <w:rFonts w:hint="eastAsia" w:ascii="宋体" w:hAnsi="宋体" w:eastAsia="宋体" w:cs="宋体"/>
          <w:sz w:val="21"/>
          <w:szCs w:val="21"/>
          <w:lang w:eastAsia="zh-CN"/>
        </w:rPr>
        <w:t>谈判供应商</w:t>
      </w:r>
      <w:r>
        <w:rPr>
          <w:rFonts w:hint="eastAsia" w:ascii="宋体" w:hAnsi="宋体" w:eastAsia="宋体" w:cs="宋体"/>
          <w:sz w:val="21"/>
          <w:szCs w:val="21"/>
        </w:rPr>
        <w:t>应认真审阅谈判文件中所有的事项、格式、条款和规范要求等，如果</w:t>
      </w:r>
      <w:r>
        <w:rPr>
          <w:rFonts w:hint="eastAsia" w:ascii="宋体" w:hAnsi="宋体" w:eastAsia="宋体" w:cs="宋体"/>
          <w:sz w:val="21"/>
          <w:szCs w:val="21"/>
          <w:lang w:eastAsia="zh-CN"/>
        </w:rPr>
        <w:t>谈判供应商</w:t>
      </w:r>
      <w:r>
        <w:rPr>
          <w:rFonts w:hint="eastAsia" w:ascii="宋体" w:hAnsi="宋体" w:eastAsia="宋体" w:cs="宋体"/>
          <w:sz w:val="21"/>
          <w:szCs w:val="21"/>
        </w:rPr>
        <w:t>没有按照谈判文件要求提交响应文件，或者响应文件没有对谈判文件做出实质性响应，将被拒绝参与谈判。</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响应文件接收截止后，谈判供应商未进行谈判登记的，不能就响应文件接收截止后的谈判过程、成交结果提出质疑；在谈判过程中，凡主持人或谈判小组明确提出须由谈判供应商确认的事项，谈判供应商当场无异议的，事后不得提出质疑。</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（五）</w:t>
      </w:r>
      <w:r>
        <w:rPr>
          <w:rFonts w:hint="eastAsia" w:ascii="宋体" w:hAnsi="宋体" w:eastAsia="宋体" w:cs="宋体"/>
          <w:sz w:val="21"/>
          <w:szCs w:val="21"/>
        </w:rPr>
        <w:t>、本项目</w:t>
      </w:r>
      <w:r>
        <w:rPr>
          <w:rFonts w:hint="eastAsia" w:ascii="宋体" w:hAnsi="宋体" w:eastAsia="宋体" w:cs="宋体"/>
          <w:sz w:val="21"/>
          <w:szCs w:val="21"/>
          <w:lang w:eastAsia="zh-CN"/>
        </w:rPr>
        <w:t>谈判</w:t>
      </w:r>
      <w:r>
        <w:rPr>
          <w:rFonts w:hint="eastAsia" w:ascii="宋体" w:hAnsi="宋体" w:eastAsia="宋体" w:cs="宋体"/>
          <w:sz w:val="21"/>
          <w:szCs w:val="21"/>
        </w:rPr>
        <w:t>公告、</w:t>
      </w:r>
      <w:r>
        <w:rPr>
          <w:rFonts w:hint="eastAsia" w:ascii="宋体" w:hAnsi="宋体" w:eastAsia="宋体" w:cs="宋体"/>
          <w:sz w:val="21"/>
          <w:szCs w:val="21"/>
          <w:lang w:eastAsia="zh-CN"/>
        </w:rPr>
        <w:t>谈判</w:t>
      </w:r>
      <w:r>
        <w:rPr>
          <w:rFonts w:hint="eastAsia" w:ascii="宋体" w:hAnsi="宋体" w:eastAsia="宋体" w:cs="宋体"/>
          <w:sz w:val="21"/>
          <w:szCs w:val="21"/>
        </w:rPr>
        <w:t>文件等资料在</w:t>
      </w:r>
      <w:r>
        <w:rPr>
          <w:rFonts w:hint="eastAsia" w:ascii="宋体" w:hAnsi="宋体" w:cs="宋体"/>
          <w:sz w:val="21"/>
          <w:szCs w:val="21"/>
          <w:lang w:eastAsia="zh-CN"/>
        </w:rPr>
        <w:t>江苏省南通市人民检察院官网</w:t>
      </w:r>
      <w:r>
        <w:rPr>
          <w:rFonts w:hint="eastAsia" w:ascii="宋体" w:hAnsi="宋体" w:eastAsia="宋体" w:cs="宋体"/>
          <w:sz w:val="21"/>
          <w:szCs w:val="21"/>
        </w:rPr>
        <w:t>发布，各投标人自行上网查询、下载。</w:t>
      </w:r>
    </w:p>
    <w:p>
      <w:pPr>
        <w:snapToGrid w:val="0"/>
        <w:spacing w:line="520" w:lineRule="exact"/>
        <w:outlineLvl w:val="1"/>
        <w:rPr>
          <w:rFonts w:hint="eastAsia" w:ascii="宋体" w:hAnsi="宋体" w:eastAsia="宋体" w:cs="宋体"/>
          <w:b/>
          <w:bCs/>
          <w:sz w:val="28"/>
          <w:szCs w:val="28"/>
        </w:rPr>
      </w:pPr>
      <w:bookmarkStart w:id="6" w:name="_Toc446695378"/>
      <w:r>
        <w:rPr>
          <w:rFonts w:hint="eastAsia" w:ascii="宋体" w:hAnsi="宋体" w:eastAsia="宋体" w:cs="宋体"/>
          <w:b/>
          <w:bCs/>
          <w:sz w:val="28"/>
          <w:szCs w:val="28"/>
        </w:rPr>
        <w:t>二、谈判文件的澄清、修改、答疑</w:t>
      </w:r>
      <w:bookmarkEnd w:id="6"/>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、采购单位、采购代理机构有权对发出的谈判文件进行必要的澄清、修改或补充。</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、谈判文件的澄清、修改、补充等内容均以书面明确</w:t>
      </w:r>
      <w:r>
        <w:rPr>
          <w:rFonts w:hint="eastAsia" w:ascii="宋体" w:hAnsi="宋体" w:eastAsia="宋体" w:cs="宋体"/>
          <w:sz w:val="21"/>
          <w:szCs w:val="21"/>
          <w:highlight w:val="none"/>
        </w:rPr>
        <w:t>的形式发布，且以在</w:t>
      </w:r>
      <w:r>
        <w:rPr>
          <w:rFonts w:hint="eastAsia" w:ascii="宋体" w:hAnsi="宋体" w:cs="宋体"/>
          <w:sz w:val="21"/>
          <w:szCs w:val="21"/>
          <w:lang w:eastAsia="zh-CN"/>
        </w:rPr>
        <w:t>江苏省南通市人民检察院官网</w:t>
      </w:r>
      <w:r>
        <w:rPr>
          <w:rFonts w:hint="eastAsia" w:ascii="宋体" w:hAnsi="宋体" w:eastAsia="宋体" w:cs="宋体"/>
          <w:sz w:val="21"/>
          <w:szCs w:val="21"/>
        </w:rPr>
        <w:t>发布的信息为准。</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、采购单位、采购代理机构对谈判文件的澄清、修改将构成谈判文件的一部分，对</w:t>
      </w:r>
      <w:r>
        <w:rPr>
          <w:rFonts w:hint="eastAsia" w:ascii="宋体" w:hAnsi="宋体" w:eastAsia="宋体" w:cs="宋体"/>
          <w:sz w:val="21"/>
          <w:szCs w:val="21"/>
          <w:lang w:eastAsia="zh-CN"/>
        </w:rPr>
        <w:t>谈判供应商</w:t>
      </w:r>
      <w:r>
        <w:rPr>
          <w:rFonts w:hint="eastAsia" w:ascii="宋体" w:hAnsi="宋体" w:eastAsia="宋体" w:cs="宋体"/>
          <w:sz w:val="21"/>
          <w:szCs w:val="21"/>
        </w:rPr>
        <w:t>具有约束力。</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 xml:space="preserve">、澄清或者修改的内容可能影响到响应文件编制的，采购单位、采购代理机构将在提交响应文件接收截止之日的2个工作日前，以网上发布形式通知所有接收谈判文件的谈判供应商，不足2个工作日的，应当顺延提交响应文件接收截止之日。  </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（五）</w:t>
      </w:r>
      <w:r>
        <w:rPr>
          <w:rFonts w:hint="eastAsia" w:ascii="宋体" w:hAnsi="宋体" w:eastAsia="宋体" w:cs="宋体"/>
          <w:sz w:val="21"/>
          <w:szCs w:val="21"/>
        </w:rPr>
        <w:t>、除非代理机构以书面的形式对谈判文件作出澄清、修改及补充，</w:t>
      </w:r>
      <w:r>
        <w:rPr>
          <w:rFonts w:hint="eastAsia" w:ascii="宋体" w:hAnsi="宋体" w:eastAsia="宋体" w:cs="宋体"/>
          <w:sz w:val="21"/>
          <w:szCs w:val="21"/>
          <w:lang w:eastAsia="zh-CN"/>
        </w:rPr>
        <w:t>谈判供应商</w:t>
      </w:r>
      <w:r>
        <w:rPr>
          <w:rFonts w:hint="eastAsia" w:ascii="宋体" w:hAnsi="宋体" w:eastAsia="宋体" w:cs="宋体"/>
          <w:sz w:val="21"/>
          <w:szCs w:val="21"/>
        </w:rPr>
        <w:t>对涉及谈判文件的任何推论、理解和结论所造成的结果，均由</w:t>
      </w:r>
      <w:r>
        <w:rPr>
          <w:rFonts w:hint="eastAsia" w:ascii="宋体" w:hAnsi="宋体" w:eastAsia="宋体" w:cs="宋体"/>
          <w:sz w:val="21"/>
          <w:szCs w:val="21"/>
          <w:lang w:eastAsia="zh-CN"/>
        </w:rPr>
        <w:t>谈判供应商</w:t>
      </w:r>
      <w:r>
        <w:rPr>
          <w:rFonts w:hint="eastAsia" w:ascii="宋体" w:hAnsi="宋体" w:eastAsia="宋体" w:cs="宋体"/>
          <w:sz w:val="21"/>
          <w:szCs w:val="21"/>
        </w:rPr>
        <w:t>自负。</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（六）</w:t>
      </w:r>
      <w:r>
        <w:rPr>
          <w:rFonts w:hint="eastAsia" w:ascii="宋体" w:hAnsi="宋体" w:eastAsia="宋体" w:cs="宋体"/>
          <w:sz w:val="21"/>
          <w:szCs w:val="21"/>
        </w:rPr>
        <w:t>、采购单位、采购代理机构视情组织答疑会。如有产生答疑且对谈判采购文件内容有修改，代理机构将按照本须知有关规定，以补充通知（公告）的方式发出。</w:t>
      </w:r>
      <w:bookmarkStart w:id="7" w:name="_Toc446695379"/>
    </w:p>
    <w:p>
      <w:pPr>
        <w:snapToGrid w:val="0"/>
        <w:spacing w:line="520" w:lineRule="exact"/>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三、谈判项目涉及到的现场勘察</w:t>
      </w:r>
      <w:bookmarkEnd w:id="7"/>
    </w:p>
    <w:p>
      <w:pPr>
        <w:snapToGrid w:val="0"/>
        <w:spacing w:line="48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 根据自身情况，</w:t>
      </w:r>
      <w:r>
        <w:rPr>
          <w:rFonts w:hint="eastAsia" w:ascii="宋体" w:hAnsi="宋体" w:eastAsia="宋体" w:cs="宋体"/>
          <w:sz w:val="21"/>
          <w:szCs w:val="21"/>
          <w:lang w:eastAsia="zh-CN"/>
        </w:rPr>
        <w:t>谈判</w:t>
      </w:r>
      <w:r>
        <w:rPr>
          <w:rFonts w:hint="eastAsia" w:ascii="宋体" w:hAnsi="宋体" w:eastAsia="宋体" w:cs="宋体"/>
          <w:sz w:val="21"/>
          <w:szCs w:val="21"/>
        </w:rPr>
        <w:t>供应商对有关现场和周围环境进行勘察，以获取编制</w:t>
      </w:r>
      <w:r>
        <w:rPr>
          <w:rFonts w:hint="eastAsia" w:ascii="宋体" w:hAnsi="宋体" w:eastAsia="宋体" w:cs="宋体"/>
          <w:sz w:val="21"/>
          <w:szCs w:val="21"/>
          <w:lang w:eastAsia="zh-CN"/>
        </w:rPr>
        <w:t>谈判响应</w:t>
      </w:r>
      <w:r>
        <w:rPr>
          <w:rFonts w:hint="eastAsia" w:ascii="宋体" w:hAnsi="宋体" w:eastAsia="宋体" w:cs="宋体"/>
          <w:sz w:val="21"/>
          <w:szCs w:val="21"/>
        </w:rPr>
        <w:t>文件和签署合同所需的信息。勘察现场所发生的费用由</w:t>
      </w:r>
      <w:r>
        <w:rPr>
          <w:rFonts w:hint="eastAsia" w:ascii="宋体" w:hAnsi="宋体" w:eastAsia="宋体" w:cs="宋体"/>
          <w:sz w:val="21"/>
          <w:szCs w:val="21"/>
          <w:lang w:eastAsia="zh-CN"/>
        </w:rPr>
        <w:t>谈判</w:t>
      </w:r>
      <w:r>
        <w:rPr>
          <w:rFonts w:hint="eastAsia" w:ascii="宋体" w:hAnsi="宋体" w:eastAsia="宋体" w:cs="宋体"/>
          <w:sz w:val="21"/>
          <w:szCs w:val="21"/>
        </w:rPr>
        <w:t>供应商自己承担。</w:t>
      </w:r>
    </w:p>
    <w:p>
      <w:pPr>
        <w:snapToGrid w:val="0"/>
        <w:spacing w:line="48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、采购人向</w:t>
      </w:r>
      <w:r>
        <w:rPr>
          <w:rFonts w:hint="eastAsia" w:ascii="宋体" w:hAnsi="宋体" w:eastAsia="宋体" w:cs="宋体"/>
          <w:sz w:val="21"/>
          <w:szCs w:val="21"/>
          <w:lang w:eastAsia="zh-CN"/>
        </w:rPr>
        <w:t>谈判</w:t>
      </w:r>
      <w:r>
        <w:rPr>
          <w:rFonts w:hint="eastAsia" w:ascii="宋体" w:hAnsi="宋体" w:eastAsia="宋体" w:cs="宋体"/>
          <w:sz w:val="21"/>
          <w:szCs w:val="21"/>
        </w:rPr>
        <w:t>供应商提供的有关现场的资料和数据，是采购人现有的并认为能使</w:t>
      </w:r>
      <w:r>
        <w:rPr>
          <w:rFonts w:hint="eastAsia" w:ascii="宋体" w:hAnsi="宋体" w:eastAsia="宋体" w:cs="宋体"/>
          <w:sz w:val="21"/>
          <w:szCs w:val="21"/>
          <w:lang w:eastAsia="zh-CN"/>
        </w:rPr>
        <w:t>谈判</w:t>
      </w:r>
      <w:r>
        <w:rPr>
          <w:rFonts w:hint="eastAsia" w:ascii="宋体" w:hAnsi="宋体" w:eastAsia="宋体" w:cs="宋体"/>
          <w:sz w:val="21"/>
          <w:szCs w:val="21"/>
        </w:rPr>
        <w:t>供应商可利用的资料。采购人对</w:t>
      </w:r>
      <w:r>
        <w:rPr>
          <w:rFonts w:hint="eastAsia" w:ascii="宋体" w:hAnsi="宋体" w:eastAsia="宋体" w:cs="宋体"/>
          <w:sz w:val="21"/>
          <w:szCs w:val="21"/>
          <w:lang w:eastAsia="zh-CN"/>
        </w:rPr>
        <w:t>谈判</w:t>
      </w:r>
      <w:r>
        <w:rPr>
          <w:rFonts w:hint="eastAsia" w:ascii="宋体" w:hAnsi="宋体" w:eastAsia="宋体" w:cs="宋体"/>
          <w:sz w:val="21"/>
          <w:szCs w:val="21"/>
        </w:rPr>
        <w:t>供应商由此而做出的推论、理解和结论概不负责。</w:t>
      </w:r>
    </w:p>
    <w:p>
      <w:pPr>
        <w:snapToGrid w:val="0"/>
        <w:spacing w:line="48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、经采购人允许，</w:t>
      </w:r>
      <w:r>
        <w:rPr>
          <w:rFonts w:hint="eastAsia" w:ascii="宋体" w:hAnsi="宋体" w:eastAsia="宋体" w:cs="宋体"/>
          <w:sz w:val="21"/>
          <w:szCs w:val="21"/>
          <w:lang w:eastAsia="zh-CN"/>
        </w:rPr>
        <w:t>谈判</w:t>
      </w:r>
      <w:r>
        <w:rPr>
          <w:rFonts w:hint="eastAsia" w:ascii="宋体" w:hAnsi="宋体" w:eastAsia="宋体" w:cs="宋体"/>
          <w:sz w:val="21"/>
          <w:szCs w:val="21"/>
        </w:rPr>
        <w:t>供应商可为勘察目的进入采购人的项目现场，但</w:t>
      </w:r>
      <w:r>
        <w:rPr>
          <w:rFonts w:hint="eastAsia" w:ascii="宋体" w:hAnsi="宋体" w:eastAsia="宋体" w:cs="宋体"/>
          <w:sz w:val="21"/>
          <w:szCs w:val="21"/>
          <w:lang w:eastAsia="zh-CN"/>
        </w:rPr>
        <w:t>谈判</w:t>
      </w:r>
      <w:r>
        <w:rPr>
          <w:rFonts w:hint="eastAsia" w:ascii="宋体" w:hAnsi="宋体" w:eastAsia="宋体" w:cs="宋体"/>
          <w:sz w:val="21"/>
          <w:szCs w:val="21"/>
        </w:rPr>
        <w:t>供应商不得因此使采购人承担有关的责任和蒙受损失。</w:t>
      </w:r>
      <w:r>
        <w:rPr>
          <w:rFonts w:hint="eastAsia" w:ascii="宋体" w:hAnsi="宋体" w:eastAsia="宋体" w:cs="宋体"/>
          <w:sz w:val="21"/>
          <w:szCs w:val="21"/>
          <w:lang w:eastAsia="zh-CN"/>
        </w:rPr>
        <w:t>谈判</w:t>
      </w:r>
      <w:r>
        <w:rPr>
          <w:rFonts w:hint="eastAsia" w:ascii="宋体" w:hAnsi="宋体" w:eastAsia="宋体" w:cs="宋体"/>
          <w:sz w:val="21"/>
          <w:szCs w:val="21"/>
        </w:rPr>
        <w:t>供应商应承担勘察现场的责任和风险。</w:t>
      </w:r>
    </w:p>
    <w:p>
      <w:pPr>
        <w:snapToGrid w:val="0"/>
        <w:spacing w:line="48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w:t>
      </w:r>
      <w:r>
        <w:rPr>
          <w:rFonts w:hint="eastAsia" w:ascii="宋体" w:hAnsi="宋体" w:eastAsia="宋体" w:cs="宋体"/>
          <w:sz w:val="21"/>
          <w:szCs w:val="21"/>
          <w:lang w:eastAsia="zh-CN"/>
        </w:rPr>
        <w:t>谈判</w:t>
      </w:r>
      <w:r>
        <w:rPr>
          <w:rFonts w:hint="eastAsia" w:ascii="宋体" w:hAnsi="宋体" w:eastAsia="宋体" w:cs="宋体"/>
          <w:sz w:val="21"/>
          <w:szCs w:val="21"/>
        </w:rPr>
        <w:t>供应商应认真踏勘现场。在现场勘察时，熟悉服务地点周边情况，以获得一切可能影响</w:t>
      </w:r>
      <w:r>
        <w:rPr>
          <w:rFonts w:hint="eastAsia" w:ascii="宋体" w:hAnsi="宋体" w:eastAsia="宋体" w:cs="宋体"/>
          <w:sz w:val="21"/>
          <w:szCs w:val="21"/>
          <w:lang w:eastAsia="zh-CN"/>
        </w:rPr>
        <w:t>其参与谈判的直接资料。谈判供应商中标后，不得以不完全了解现场情况为理由而向采购人提出任何索赔的要求，对此采购人不承担任何责任并将不作任何答复与考虑。</w:t>
      </w:r>
      <w:bookmarkStart w:id="8" w:name="_Toc446695380"/>
    </w:p>
    <w:p>
      <w:pPr>
        <w:snapToGrid w:val="0"/>
        <w:spacing w:line="520" w:lineRule="exact"/>
        <w:outlineLvl w:val="1"/>
        <w:rPr>
          <w:rFonts w:hint="eastAsia" w:ascii="宋体" w:hAnsi="宋体" w:eastAsia="宋体" w:cs="宋体"/>
          <w:b/>
          <w:sz w:val="28"/>
          <w:szCs w:val="28"/>
        </w:rPr>
      </w:pPr>
      <w:r>
        <w:rPr>
          <w:rFonts w:hint="eastAsia" w:ascii="宋体" w:hAnsi="宋体" w:eastAsia="宋体" w:cs="宋体"/>
          <w:b/>
          <w:sz w:val="28"/>
          <w:szCs w:val="28"/>
        </w:rPr>
        <w:t>四、谈判响应文件的编写及装订</w:t>
      </w:r>
      <w:bookmarkEnd w:id="8"/>
    </w:p>
    <w:p>
      <w:pPr>
        <w:snapToGrid w:val="0"/>
        <w:spacing w:line="520" w:lineRule="exact"/>
        <w:outlineLvl w:val="1"/>
        <w:rPr>
          <w:rFonts w:hint="eastAsia" w:ascii="宋体" w:hAnsi="宋体" w:eastAsia="宋体" w:cs="宋体"/>
          <w:b/>
          <w:sz w:val="21"/>
          <w:szCs w:val="21"/>
        </w:rPr>
      </w:pPr>
      <w:bookmarkStart w:id="9" w:name="_Toc446692039"/>
      <w:bookmarkStart w:id="10" w:name="_Toc444184722"/>
      <w:bookmarkStart w:id="11" w:name="_Toc446695381"/>
      <w:r>
        <w:rPr>
          <w:rFonts w:hint="eastAsia" w:ascii="宋体" w:hAnsi="宋体" w:eastAsia="宋体" w:cs="宋体"/>
          <w:b/>
          <w:sz w:val="21"/>
          <w:szCs w:val="21"/>
          <w:lang w:val="en-US" w:eastAsia="zh-CN"/>
        </w:rPr>
        <w:t xml:space="preserve">  </w:t>
      </w:r>
      <w:bookmarkEnd w:id="9"/>
      <w:bookmarkEnd w:id="10"/>
      <w:bookmarkEnd w:id="11"/>
      <w:r>
        <w:rPr>
          <w:rFonts w:hint="eastAsia" w:ascii="宋体" w:hAnsi="宋体" w:eastAsia="宋体" w:cs="宋体"/>
          <w:sz w:val="21"/>
          <w:szCs w:val="21"/>
          <w:lang w:eastAsia="zh-CN"/>
        </w:rPr>
        <w:t>（一）</w:t>
      </w:r>
      <w:r>
        <w:rPr>
          <w:rFonts w:hint="eastAsia" w:ascii="宋体" w:hAnsi="宋体" w:eastAsia="宋体" w:cs="宋体"/>
          <w:sz w:val="21"/>
          <w:szCs w:val="21"/>
        </w:rPr>
        <w:t>、</w:t>
      </w:r>
      <w:r>
        <w:rPr>
          <w:rFonts w:hint="eastAsia" w:ascii="宋体" w:hAnsi="宋体" w:eastAsia="宋体" w:cs="宋体"/>
          <w:sz w:val="21"/>
          <w:szCs w:val="21"/>
          <w:lang w:eastAsia="zh-CN"/>
        </w:rPr>
        <w:t>谈判</w:t>
      </w:r>
      <w:r>
        <w:rPr>
          <w:rFonts w:hint="eastAsia" w:ascii="宋体" w:hAnsi="宋体" w:eastAsia="宋体" w:cs="宋体"/>
          <w:sz w:val="21"/>
          <w:szCs w:val="21"/>
        </w:rPr>
        <w:t>响应文件的组成（参见第</w:t>
      </w:r>
      <w:r>
        <w:rPr>
          <w:rFonts w:hint="eastAsia" w:ascii="宋体" w:hAnsi="宋体" w:eastAsia="宋体" w:cs="宋体"/>
          <w:sz w:val="21"/>
          <w:szCs w:val="21"/>
          <w:lang w:val="en-US" w:eastAsia="zh-CN"/>
        </w:rPr>
        <w:t>八</w:t>
      </w:r>
      <w:r>
        <w:rPr>
          <w:rFonts w:hint="eastAsia" w:ascii="宋体" w:hAnsi="宋体" w:eastAsia="宋体" w:cs="宋体"/>
          <w:sz w:val="21"/>
          <w:szCs w:val="21"/>
        </w:rPr>
        <w:t>章），参加</w:t>
      </w:r>
      <w:r>
        <w:rPr>
          <w:rFonts w:hint="eastAsia" w:ascii="宋体" w:hAnsi="宋体" w:eastAsia="宋体" w:cs="宋体"/>
          <w:sz w:val="21"/>
          <w:szCs w:val="21"/>
          <w:lang w:eastAsia="zh-CN"/>
        </w:rPr>
        <w:t>谈判的供应商</w:t>
      </w:r>
      <w:r>
        <w:rPr>
          <w:rFonts w:hint="eastAsia" w:ascii="宋体" w:hAnsi="宋体" w:eastAsia="宋体" w:cs="宋体"/>
          <w:sz w:val="21"/>
          <w:szCs w:val="21"/>
        </w:rPr>
        <w:t>按谈判文件要求编写</w:t>
      </w:r>
      <w:r>
        <w:rPr>
          <w:rFonts w:hint="eastAsia" w:ascii="宋体" w:hAnsi="宋体" w:eastAsia="宋体" w:cs="宋体"/>
          <w:sz w:val="21"/>
          <w:szCs w:val="21"/>
          <w:lang w:eastAsia="zh-CN"/>
        </w:rPr>
        <w:t>谈判</w:t>
      </w:r>
      <w:r>
        <w:rPr>
          <w:rFonts w:hint="eastAsia" w:ascii="宋体" w:hAnsi="宋体" w:eastAsia="宋体" w:cs="宋体"/>
          <w:sz w:val="21"/>
          <w:szCs w:val="21"/>
        </w:rPr>
        <w:t>响应文件，并牢固装订成册。</w:t>
      </w:r>
      <w:r>
        <w:rPr>
          <w:rFonts w:hint="eastAsia" w:ascii="宋体" w:hAnsi="宋体" w:eastAsia="宋体" w:cs="宋体"/>
          <w:sz w:val="21"/>
          <w:szCs w:val="21"/>
          <w:lang w:eastAsia="zh-CN"/>
        </w:rPr>
        <w:t>谈判</w:t>
      </w:r>
      <w:r>
        <w:rPr>
          <w:rFonts w:hint="eastAsia" w:ascii="宋体" w:hAnsi="宋体" w:eastAsia="宋体" w:cs="宋体"/>
          <w:sz w:val="21"/>
          <w:szCs w:val="21"/>
        </w:rPr>
        <w:t>响应文件均需采用A4纸（图纸等除外），不允许使用活页夹、拉杆夹、文件夹、塑料方便式书脊（插入式或穿孔式）装订。</w:t>
      </w:r>
      <w:r>
        <w:rPr>
          <w:rFonts w:hint="eastAsia" w:ascii="宋体" w:hAnsi="宋体" w:eastAsia="宋体" w:cs="宋体"/>
          <w:sz w:val="21"/>
          <w:szCs w:val="21"/>
          <w:lang w:eastAsia="zh-CN"/>
        </w:rPr>
        <w:t>谈判</w:t>
      </w:r>
      <w:r>
        <w:rPr>
          <w:rFonts w:hint="eastAsia" w:ascii="宋体" w:hAnsi="宋体" w:eastAsia="宋体" w:cs="宋体"/>
          <w:sz w:val="21"/>
          <w:szCs w:val="21"/>
        </w:rPr>
        <w:t>响应文件不得行间插字、涂改、增删，如修改错漏处，须经参加</w:t>
      </w:r>
      <w:r>
        <w:rPr>
          <w:rFonts w:hint="eastAsia" w:ascii="宋体" w:hAnsi="宋体" w:eastAsia="宋体" w:cs="宋体"/>
          <w:sz w:val="21"/>
          <w:szCs w:val="21"/>
          <w:lang w:eastAsia="zh-CN"/>
        </w:rPr>
        <w:t>谈判的谈判供应商法定代表人</w:t>
      </w:r>
      <w:r>
        <w:rPr>
          <w:rFonts w:hint="eastAsia" w:ascii="宋体" w:hAnsi="宋体" w:eastAsia="宋体" w:cs="宋体"/>
          <w:sz w:val="21"/>
          <w:szCs w:val="21"/>
        </w:rPr>
        <w:t>或被授权人签字并加盖公章。</w:t>
      </w:r>
    </w:p>
    <w:p>
      <w:pPr>
        <w:snapToGrid w:val="0"/>
        <w:spacing w:line="520" w:lineRule="exact"/>
        <w:outlineLvl w:val="1"/>
        <w:rPr>
          <w:rFonts w:hint="eastAsia" w:ascii="宋体" w:hAnsi="宋体" w:eastAsia="宋体" w:cs="宋体"/>
          <w:sz w:val="21"/>
          <w:szCs w:val="21"/>
        </w:rPr>
      </w:pPr>
      <w:bookmarkStart w:id="12" w:name="_Toc446695382"/>
      <w:bookmarkStart w:id="13" w:name="_Toc446692040"/>
      <w:bookmarkStart w:id="14" w:name="_Toc444184723"/>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w:t>
      </w:r>
      <w:r>
        <w:rPr>
          <w:rFonts w:hint="eastAsia" w:ascii="宋体" w:hAnsi="宋体" w:eastAsia="宋体" w:cs="宋体"/>
          <w:sz w:val="21"/>
          <w:szCs w:val="21"/>
          <w:lang w:eastAsia="zh-CN"/>
        </w:rPr>
        <w:t>谈判</w:t>
      </w:r>
      <w:r>
        <w:rPr>
          <w:rFonts w:hint="eastAsia" w:ascii="宋体" w:hAnsi="宋体" w:eastAsia="宋体" w:cs="宋体"/>
          <w:sz w:val="21"/>
          <w:szCs w:val="21"/>
        </w:rPr>
        <w:t>响应文件的 “资格审查文件”“技术谈判响应文件”“商务报价谈判响应文件”各自装订成册。特别提示：“商务报价谈判响应文件”必须单独装订和封装，不得出现在“资格审查文件”和“技术谈判响应文件”之中。</w:t>
      </w:r>
      <w:bookmarkEnd w:id="12"/>
      <w:bookmarkEnd w:id="13"/>
      <w:bookmarkEnd w:id="14"/>
    </w:p>
    <w:p>
      <w:pPr>
        <w:numPr>
          <w:ilvl w:val="0"/>
          <w:numId w:val="3"/>
        </w:numPr>
        <w:snapToGrid w:val="0"/>
        <w:spacing w:line="520" w:lineRule="exact"/>
        <w:outlineLvl w:val="1"/>
        <w:rPr>
          <w:rFonts w:hint="eastAsia" w:ascii="宋体" w:hAnsi="宋体" w:eastAsia="宋体" w:cs="宋体"/>
          <w:b/>
          <w:sz w:val="28"/>
          <w:szCs w:val="28"/>
          <w:highlight w:val="none"/>
        </w:rPr>
      </w:pPr>
      <w:bookmarkStart w:id="15" w:name="_Toc446695383"/>
      <w:r>
        <w:rPr>
          <w:rFonts w:hint="eastAsia" w:ascii="宋体" w:hAnsi="宋体" w:eastAsia="宋体" w:cs="宋体"/>
          <w:b/>
          <w:sz w:val="28"/>
          <w:szCs w:val="28"/>
        </w:rPr>
        <w:t>谈判</w:t>
      </w:r>
      <w:r>
        <w:rPr>
          <w:rFonts w:hint="eastAsia" w:ascii="宋体" w:hAnsi="宋体" w:eastAsia="宋体" w:cs="宋体"/>
          <w:b/>
          <w:sz w:val="28"/>
          <w:szCs w:val="28"/>
          <w:highlight w:val="none"/>
        </w:rPr>
        <w:t>响应文件的份数和签署</w:t>
      </w:r>
      <w:bookmarkEnd w:id="15"/>
    </w:p>
    <w:p>
      <w:pPr>
        <w:numPr>
          <w:ilvl w:val="0"/>
          <w:numId w:val="0"/>
        </w:numPr>
        <w:snapToGrid w:val="0"/>
        <w:spacing w:line="520" w:lineRule="exact"/>
        <w:outlineLvl w:val="1"/>
        <w:rPr>
          <w:rFonts w:hint="eastAsia" w:ascii="宋体" w:hAnsi="宋体" w:eastAsia="宋体" w:cs="宋体"/>
          <w:b/>
          <w:color w:val="FF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 w:val="21"/>
          <w:szCs w:val="21"/>
        </w:rPr>
        <w:t>、谈判供应商应准备</w:t>
      </w:r>
      <w:r>
        <w:rPr>
          <w:rFonts w:hint="eastAsia" w:ascii="宋体" w:hAnsi="宋体" w:eastAsia="宋体" w:cs="宋体"/>
          <w:sz w:val="21"/>
          <w:szCs w:val="21"/>
          <w:u w:val="single"/>
        </w:rPr>
        <w:t xml:space="preserve"> 叁 </w:t>
      </w:r>
      <w:r>
        <w:rPr>
          <w:rFonts w:hint="eastAsia" w:ascii="宋体" w:hAnsi="宋体" w:eastAsia="宋体" w:cs="宋体"/>
          <w:sz w:val="21"/>
          <w:szCs w:val="21"/>
        </w:rPr>
        <w:t>份完整的</w:t>
      </w:r>
      <w:r>
        <w:rPr>
          <w:rFonts w:hint="eastAsia" w:ascii="宋体" w:hAnsi="宋体" w:eastAsia="宋体" w:cs="宋体"/>
          <w:sz w:val="21"/>
          <w:szCs w:val="21"/>
          <w:lang w:eastAsia="zh-CN"/>
        </w:rPr>
        <w:t>谈判</w:t>
      </w:r>
      <w:r>
        <w:rPr>
          <w:rFonts w:hint="eastAsia" w:ascii="宋体" w:hAnsi="宋体" w:eastAsia="宋体" w:cs="宋体"/>
          <w:sz w:val="21"/>
          <w:szCs w:val="21"/>
        </w:rPr>
        <w:t>响应文件，其中正本</w:t>
      </w:r>
      <w:r>
        <w:rPr>
          <w:rFonts w:hint="eastAsia" w:ascii="宋体" w:hAnsi="宋体" w:eastAsia="宋体" w:cs="宋体"/>
          <w:sz w:val="21"/>
          <w:szCs w:val="21"/>
          <w:u w:val="single"/>
        </w:rPr>
        <w:t xml:space="preserve"> 壹 </w:t>
      </w:r>
      <w:r>
        <w:rPr>
          <w:rFonts w:hint="eastAsia" w:ascii="宋体" w:hAnsi="宋体" w:eastAsia="宋体" w:cs="宋体"/>
          <w:sz w:val="21"/>
          <w:szCs w:val="21"/>
        </w:rPr>
        <w:t>份，副本</w:t>
      </w:r>
      <w:r>
        <w:rPr>
          <w:rFonts w:hint="eastAsia" w:ascii="宋体" w:hAnsi="宋体" w:eastAsia="宋体" w:cs="宋体"/>
          <w:sz w:val="21"/>
          <w:szCs w:val="21"/>
          <w:u w:val="single"/>
        </w:rPr>
        <w:t xml:space="preserve"> 贰 </w:t>
      </w:r>
      <w:r>
        <w:rPr>
          <w:rFonts w:hint="eastAsia" w:ascii="宋体" w:hAnsi="宋体" w:eastAsia="宋体" w:cs="宋体"/>
          <w:sz w:val="21"/>
          <w:szCs w:val="21"/>
        </w:rPr>
        <w:t>份，并标明“正本”或“副本”字样。</w:t>
      </w:r>
    </w:p>
    <w:p>
      <w:pPr>
        <w:snapToGrid w:val="0"/>
        <w:spacing w:line="520" w:lineRule="exact"/>
        <w:outlineLvl w:val="1"/>
        <w:rPr>
          <w:rFonts w:hint="eastAsia" w:ascii="宋体" w:hAnsi="宋体" w:eastAsia="宋体" w:cs="宋体"/>
          <w:sz w:val="21"/>
          <w:szCs w:val="21"/>
        </w:rPr>
      </w:pPr>
      <w:bookmarkStart w:id="16" w:name="_Toc444184725"/>
      <w:bookmarkStart w:id="17" w:name="_Toc446692042"/>
      <w:bookmarkStart w:id="18" w:name="_Toc446695384"/>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rPr>
        <w:t>、谈判响应文件分三册密封。第一册为“资格审查文件”，第二册为“技术谈判响应文件”，第三册为“商务报价谈判响应文件”，谈判响应文件的第一册、第二册、第三册应分别密封，并在封袋上标明“资格审查文件”“技术谈判响应文件”“商务报价谈判响应文件”。</w:t>
      </w:r>
      <w:bookmarkEnd w:id="16"/>
      <w:bookmarkEnd w:id="17"/>
      <w:bookmarkEnd w:id="18"/>
    </w:p>
    <w:p>
      <w:pPr>
        <w:snapToGrid w:val="0"/>
        <w:spacing w:line="520" w:lineRule="exact"/>
        <w:outlineLvl w:val="1"/>
        <w:rPr>
          <w:rFonts w:hint="eastAsia" w:ascii="宋体" w:hAnsi="宋体" w:eastAsia="宋体" w:cs="宋体"/>
          <w:sz w:val="21"/>
          <w:szCs w:val="21"/>
        </w:rPr>
      </w:pPr>
      <w:bookmarkStart w:id="19" w:name="_Toc446692043"/>
      <w:bookmarkStart w:id="20" w:name="_Toc444184726"/>
      <w:bookmarkStart w:id="21" w:name="_Toc446695385"/>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 w:val="21"/>
          <w:szCs w:val="21"/>
        </w:rPr>
        <w:t>、谈判供应商可将谈判响应文件正副本统一密封或分别密封，如正本和副本分别密封的，应在封袋上标明正、副本字样。</w:t>
      </w:r>
      <w:bookmarkEnd w:id="19"/>
      <w:bookmarkEnd w:id="20"/>
      <w:bookmarkEnd w:id="21"/>
    </w:p>
    <w:p>
      <w:pPr>
        <w:snapToGrid w:val="0"/>
        <w:spacing w:line="520" w:lineRule="exact"/>
        <w:outlineLvl w:val="1"/>
        <w:rPr>
          <w:rFonts w:hint="eastAsia" w:ascii="宋体" w:hAnsi="宋体" w:eastAsia="宋体" w:cs="宋体"/>
          <w:sz w:val="21"/>
          <w:szCs w:val="21"/>
        </w:rPr>
      </w:pPr>
      <w:bookmarkStart w:id="22" w:name="_Toc446692044"/>
      <w:bookmarkStart w:id="23" w:name="_Toc446695386"/>
      <w:bookmarkStart w:id="24" w:name="_Toc444184727"/>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 w:val="21"/>
          <w:szCs w:val="21"/>
        </w:rPr>
        <w:t>、谈判响应文件正本须由</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或被授权人签字或盖章，并加盖单位印章。副本可复印，但须加盖单位印章。</w:t>
      </w:r>
      <w:bookmarkEnd w:id="22"/>
      <w:bookmarkEnd w:id="23"/>
      <w:bookmarkEnd w:id="24"/>
    </w:p>
    <w:p>
      <w:pPr>
        <w:snapToGrid w:val="0"/>
        <w:spacing w:line="480" w:lineRule="exact"/>
        <w:outlineLvl w:val="1"/>
        <w:rPr>
          <w:rFonts w:hint="eastAsia" w:ascii="宋体" w:hAnsi="宋体" w:eastAsia="宋体" w:cs="宋体"/>
          <w:b/>
          <w:sz w:val="28"/>
          <w:szCs w:val="28"/>
        </w:rPr>
      </w:pPr>
      <w:bookmarkStart w:id="25" w:name="_Toc446695387"/>
      <w:r>
        <w:rPr>
          <w:rFonts w:hint="eastAsia" w:ascii="宋体" w:hAnsi="宋体" w:eastAsia="宋体" w:cs="宋体"/>
          <w:b/>
          <w:sz w:val="28"/>
          <w:szCs w:val="28"/>
        </w:rPr>
        <w:t>六、谈判响应文件的密封及标记</w:t>
      </w:r>
      <w:bookmarkEnd w:id="25"/>
    </w:p>
    <w:p>
      <w:pPr>
        <w:snapToGrid w:val="0"/>
        <w:spacing w:line="480" w:lineRule="exact"/>
        <w:ind w:firstLine="420" w:firstLineChars="200"/>
        <w:outlineLvl w:val="1"/>
        <w:rPr>
          <w:rFonts w:hint="eastAsia" w:ascii="宋体" w:hAnsi="宋体" w:eastAsia="宋体" w:cs="宋体"/>
          <w:sz w:val="21"/>
          <w:szCs w:val="21"/>
        </w:rPr>
      </w:pPr>
      <w:bookmarkStart w:id="26" w:name="_Toc444184729"/>
      <w:bookmarkStart w:id="27" w:name="_Toc446695388"/>
      <w:bookmarkStart w:id="28" w:name="_Toc446692046"/>
      <w:r>
        <w:rPr>
          <w:rFonts w:hint="eastAsia" w:ascii="宋体" w:hAnsi="宋体" w:eastAsia="宋体" w:cs="宋体"/>
          <w:sz w:val="21"/>
          <w:szCs w:val="21"/>
        </w:rPr>
        <w:t>谈判响应文件密封后应标明响应文件项目名称、谈判供应商名称、边缝处加盖单位骑缝章或骑缝签字。</w:t>
      </w:r>
      <w:bookmarkEnd w:id="26"/>
      <w:bookmarkEnd w:id="27"/>
      <w:bookmarkEnd w:id="28"/>
    </w:p>
    <w:p>
      <w:pPr>
        <w:snapToGrid w:val="0"/>
        <w:spacing w:line="480" w:lineRule="exact"/>
        <w:outlineLvl w:val="1"/>
        <w:rPr>
          <w:rFonts w:hint="eastAsia" w:ascii="宋体" w:hAnsi="宋体" w:eastAsia="宋体" w:cs="宋体"/>
          <w:b/>
          <w:bCs/>
          <w:sz w:val="28"/>
          <w:szCs w:val="28"/>
        </w:rPr>
      </w:pPr>
      <w:bookmarkStart w:id="29" w:name="_Toc446695389"/>
      <w:r>
        <w:rPr>
          <w:rFonts w:hint="eastAsia" w:ascii="宋体" w:hAnsi="宋体" w:eastAsia="宋体" w:cs="宋体"/>
          <w:b/>
          <w:bCs/>
          <w:sz w:val="28"/>
          <w:szCs w:val="28"/>
        </w:rPr>
        <w:t>七、谈判报价</w:t>
      </w:r>
      <w:bookmarkEnd w:id="29"/>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（一）</w:t>
      </w:r>
      <w:r>
        <w:rPr>
          <w:rFonts w:hint="eastAsia" w:ascii="宋体" w:hAnsi="宋体" w:eastAsia="宋体" w:cs="宋体"/>
          <w:szCs w:val="21"/>
        </w:rPr>
        <w:t>谈判报价（以人民币计价）为谈判供应商在谈判响应文件中提出的各项支付金额的总和，应是</w:t>
      </w:r>
      <w:r>
        <w:rPr>
          <w:rFonts w:hint="eastAsia" w:ascii="宋体" w:hAnsi="宋体" w:eastAsia="宋体" w:cs="宋体"/>
          <w:szCs w:val="21"/>
          <w:lang w:eastAsia="zh-CN"/>
        </w:rPr>
        <w:t>响应招标文件《</w:t>
      </w:r>
      <w:r>
        <w:rPr>
          <w:rFonts w:hint="eastAsia" w:ascii="宋体" w:hAnsi="宋体" w:eastAsia="宋体" w:cs="宋体"/>
          <w:szCs w:val="21"/>
          <w:lang w:val="en-US" w:eastAsia="zh-CN"/>
        </w:rPr>
        <w:t>项目需求</w:t>
      </w:r>
      <w:r>
        <w:rPr>
          <w:rFonts w:hint="eastAsia" w:ascii="宋体" w:hAnsi="宋体" w:eastAsia="宋体" w:cs="宋体"/>
          <w:szCs w:val="21"/>
          <w:lang w:eastAsia="zh-CN"/>
        </w:rPr>
        <w:t>》的所有费用</w:t>
      </w:r>
      <w:r>
        <w:rPr>
          <w:rFonts w:hint="eastAsia" w:ascii="宋体" w:hAnsi="宋体" w:eastAsia="宋体" w:cs="宋体"/>
          <w:szCs w:val="21"/>
        </w:rPr>
        <w:t>。谈判报价可以精确到“元”。</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（二）</w:t>
      </w:r>
      <w:r>
        <w:rPr>
          <w:rFonts w:hint="eastAsia" w:ascii="宋体" w:hAnsi="宋体" w:eastAsia="宋体" w:cs="宋体"/>
          <w:szCs w:val="21"/>
        </w:rPr>
        <w:t>谈判报价中应包括谈判响应文件未明确列出但按常规应当包括的所有费用。</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（三）</w:t>
      </w:r>
      <w:r>
        <w:rPr>
          <w:rFonts w:hint="eastAsia" w:ascii="宋体" w:hAnsi="宋体" w:eastAsia="宋体" w:cs="宋体"/>
          <w:szCs w:val="21"/>
        </w:rPr>
        <w:t>技术规范要求的费用已包括在谈判报价中。</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（四）</w:t>
      </w:r>
      <w:r>
        <w:rPr>
          <w:rFonts w:hint="eastAsia" w:ascii="宋体" w:hAnsi="宋体" w:eastAsia="宋体" w:cs="宋体"/>
          <w:szCs w:val="21"/>
        </w:rPr>
        <w:t>谈判采用综合单价报价，谈判供应商应按采购人提供的《</w:t>
      </w:r>
      <w:r>
        <w:rPr>
          <w:rFonts w:hint="eastAsia" w:ascii="宋体" w:hAnsi="宋体" w:eastAsia="宋体" w:cs="宋体"/>
          <w:szCs w:val="21"/>
          <w:lang w:val="en-US" w:eastAsia="zh-CN"/>
        </w:rPr>
        <w:t>项目需求</w:t>
      </w:r>
      <w:r>
        <w:rPr>
          <w:rFonts w:hint="eastAsia" w:ascii="宋体" w:hAnsi="宋体" w:eastAsia="宋体" w:cs="宋体"/>
          <w:szCs w:val="21"/>
        </w:rPr>
        <w:t>》中列出的</w:t>
      </w:r>
      <w:r>
        <w:rPr>
          <w:rFonts w:hint="eastAsia" w:ascii="宋体" w:hAnsi="宋体" w:eastAsia="宋体" w:cs="宋体"/>
          <w:szCs w:val="21"/>
          <w:lang w:val="en-US" w:eastAsia="zh-CN"/>
        </w:rPr>
        <w:t>所有需求</w:t>
      </w:r>
      <w:r>
        <w:rPr>
          <w:rFonts w:hint="eastAsia" w:ascii="宋体" w:hAnsi="宋体" w:eastAsia="宋体" w:cs="宋体"/>
          <w:szCs w:val="21"/>
        </w:rPr>
        <w:t>填报综合单价和合价。每种货物</w:t>
      </w:r>
      <w:r>
        <w:rPr>
          <w:rFonts w:hint="eastAsia" w:ascii="宋体" w:hAnsi="宋体" w:eastAsia="宋体" w:cs="宋体"/>
          <w:szCs w:val="21"/>
          <w:lang w:val="en-US" w:eastAsia="zh-CN"/>
        </w:rPr>
        <w:t>或服务</w:t>
      </w:r>
      <w:r>
        <w:rPr>
          <w:rFonts w:hint="eastAsia" w:ascii="宋体" w:hAnsi="宋体" w:eastAsia="宋体" w:cs="宋体"/>
          <w:szCs w:val="21"/>
        </w:rPr>
        <w:t>只允许有一个报价。任何有选择的报价将不予接受。谈判供应商未填综合单价或合价的货物</w:t>
      </w:r>
      <w:r>
        <w:rPr>
          <w:rFonts w:hint="eastAsia" w:ascii="宋体" w:hAnsi="宋体" w:eastAsia="宋体" w:cs="宋体"/>
          <w:szCs w:val="21"/>
          <w:lang w:val="en-US" w:eastAsia="zh-CN"/>
        </w:rPr>
        <w:t>或服务</w:t>
      </w:r>
      <w:r>
        <w:rPr>
          <w:rFonts w:hint="eastAsia" w:ascii="宋体" w:hAnsi="宋体" w:eastAsia="宋体" w:cs="宋体"/>
          <w:szCs w:val="21"/>
        </w:rPr>
        <w:t>，在实施后，采购人将不予以支付任何额外费用，并视为该货物</w:t>
      </w:r>
      <w:r>
        <w:rPr>
          <w:rFonts w:hint="eastAsia" w:ascii="宋体" w:hAnsi="宋体" w:eastAsia="宋体" w:cs="宋体"/>
          <w:szCs w:val="21"/>
          <w:lang w:val="en-US" w:eastAsia="zh-CN"/>
        </w:rPr>
        <w:t>或服务</w:t>
      </w:r>
      <w:r>
        <w:rPr>
          <w:rFonts w:hint="eastAsia" w:ascii="宋体" w:hAnsi="宋体" w:eastAsia="宋体" w:cs="宋体"/>
          <w:szCs w:val="21"/>
        </w:rPr>
        <w:t>的费用已包括在其他有价款的综合单价或合价内。</w:t>
      </w:r>
    </w:p>
    <w:p>
      <w:pPr>
        <w:snapToGrid w:val="0"/>
        <w:spacing w:line="48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lang w:eastAsia="zh-CN"/>
        </w:rPr>
        <w:t>（五）总报价（以人民币计价）</w:t>
      </w:r>
      <w:r>
        <w:rPr>
          <w:rFonts w:hint="eastAsia" w:ascii="宋体" w:hAnsi="宋体" w:eastAsia="宋体" w:cs="宋体"/>
          <w:szCs w:val="21"/>
          <w:highlight w:val="none"/>
          <w:lang w:eastAsia="zh-CN"/>
        </w:rPr>
        <w:t>包含所有设备费、安装调试费、运输到指定地点的装运费用（含装卸力资）、相关安装辅助材料费、连接运行配件</w:t>
      </w:r>
      <w:r>
        <w:rPr>
          <w:rFonts w:hint="eastAsia" w:ascii="宋体" w:hAnsi="宋体" w:eastAsia="宋体" w:cs="宋体"/>
          <w:szCs w:val="21"/>
          <w:highlight w:val="none"/>
          <w:lang w:val="en-US" w:eastAsia="zh-CN"/>
        </w:rPr>
        <w:t>费、</w:t>
      </w:r>
      <w:r>
        <w:rPr>
          <w:rFonts w:hint="eastAsia" w:ascii="宋体" w:hAnsi="宋体" w:eastAsia="宋体" w:cs="宋体"/>
          <w:szCs w:val="21"/>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宋体" w:hAnsi="宋体" w:eastAsia="宋体" w:cs="宋体"/>
          <w:szCs w:val="21"/>
          <w:highlight w:val="none"/>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snapToGrid w:val="0"/>
        <w:spacing w:line="480" w:lineRule="exact"/>
        <w:rPr>
          <w:rFonts w:hint="eastAsia" w:ascii="宋体" w:hAnsi="宋体" w:eastAsia="宋体" w:cs="宋体"/>
          <w:szCs w:val="21"/>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w:t>
      </w:r>
      <w:r>
        <w:rPr>
          <w:rFonts w:hint="eastAsia" w:ascii="宋体" w:hAnsi="宋体" w:eastAsia="宋体" w:cs="宋体"/>
          <w:szCs w:val="21"/>
          <w:highlight w:val="none"/>
        </w:rPr>
        <w:t>竞谈报价表必须加盖公章且必须经</w:t>
      </w:r>
      <w:r>
        <w:rPr>
          <w:rFonts w:hint="eastAsia" w:ascii="宋体" w:hAnsi="宋体" w:eastAsia="宋体" w:cs="宋体"/>
          <w:szCs w:val="21"/>
          <w:highlight w:val="none"/>
          <w:lang w:eastAsia="zh-CN"/>
        </w:rPr>
        <w:t>法定代表人</w:t>
      </w:r>
      <w:r>
        <w:rPr>
          <w:rFonts w:hint="eastAsia" w:ascii="宋体" w:hAnsi="宋体" w:eastAsia="宋体" w:cs="宋体"/>
          <w:szCs w:val="21"/>
        </w:rPr>
        <w:t>或被授权人签字或盖章。报价表中的大写金额与小写金额、总价金额与按单价汇总金额，若有差异，将执行《政府采购货物和服务招标投标管理办法》第</w:t>
      </w:r>
      <w:r>
        <w:rPr>
          <w:rFonts w:hint="eastAsia" w:ascii="宋体" w:hAnsi="宋体" w:eastAsia="宋体" w:cs="宋体"/>
          <w:szCs w:val="21"/>
          <w:lang w:val="en-US" w:eastAsia="zh-CN"/>
        </w:rPr>
        <w:t>59</w:t>
      </w:r>
      <w:r>
        <w:rPr>
          <w:rFonts w:hint="eastAsia" w:ascii="宋体" w:hAnsi="宋体" w:eastAsia="宋体" w:cs="宋体"/>
          <w:szCs w:val="21"/>
        </w:rPr>
        <w:t>条的规定。</w:t>
      </w:r>
    </w:p>
    <w:p>
      <w:pPr>
        <w:snapToGrid w:val="0"/>
        <w:spacing w:line="480" w:lineRule="exact"/>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r>
        <w:rPr>
          <w:rFonts w:hint="eastAsia" w:ascii="宋体" w:hAnsi="宋体" w:eastAsia="宋体" w:cs="宋体"/>
          <w:szCs w:val="21"/>
          <w:lang w:val="en-US" w:eastAsia="zh-CN"/>
        </w:rPr>
        <w:t>七</w:t>
      </w:r>
      <w:r>
        <w:rPr>
          <w:rFonts w:hint="eastAsia" w:ascii="宋体" w:hAnsi="宋体" w:eastAsia="宋体" w:cs="宋体"/>
          <w:szCs w:val="21"/>
          <w:lang w:eastAsia="zh-CN"/>
        </w:rPr>
        <w:t>）</w:t>
      </w:r>
      <w:r>
        <w:rPr>
          <w:rFonts w:hint="eastAsia" w:ascii="宋体" w:hAnsi="宋体" w:eastAsia="宋体" w:cs="宋体"/>
          <w:szCs w:val="21"/>
        </w:rPr>
        <w:t>本项目报价均须以人民币为币种。</w:t>
      </w:r>
    </w:p>
    <w:p>
      <w:pPr>
        <w:snapToGrid w:val="0"/>
        <w:spacing w:line="480" w:lineRule="exact"/>
        <w:rPr>
          <w:rFonts w:hint="eastAsia" w:ascii="宋体" w:hAnsi="宋体" w:eastAsia="宋体" w:cs="宋体"/>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八</w:t>
      </w:r>
      <w:r>
        <w:rPr>
          <w:rFonts w:hint="eastAsia" w:ascii="宋体" w:hAnsi="宋体" w:eastAsia="宋体" w:cs="宋体"/>
          <w:sz w:val="21"/>
          <w:szCs w:val="21"/>
          <w:lang w:eastAsia="zh-CN"/>
        </w:rPr>
        <w:t>）</w:t>
      </w:r>
      <w:r>
        <w:rPr>
          <w:rFonts w:hint="eastAsia" w:ascii="宋体" w:hAnsi="宋体" w:eastAsia="宋体" w:cs="宋体"/>
          <w:szCs w:val="21"/>
        </w:rPr>
        <w:t>谈判供应商应详细阅读</w:t>
      </w:r>
      <w:r>
        <w:rPr>
          <w:rFonts w:hint="eastAsia" w:ascii="宋体" w:hAnsi="宋体" w:eastAsia="宋体" w:cs="宋体"/>
          <w:szCs w:val="21"/>
          <w:lang w:eastAsia="zh-CN"/>
        </w:rPr>
        <w:t>竞争性谈判</w:t>
      </w:r>
      <w:r>
        <w:rPr>
          <w:rFonts w:hint="eastAsia" w:ascii="宋体" w:hAnsi="宋体" w:eastAsia="宋体" w:cs="宋体"/>
          <w:szCs w:val="21"/>
        </w:rPr>
        <w:t>文件的全部内容，根据采购项目需求，准确制定相关工作方案等，必须对本采购项目全部进行报价，如有漏项，视同对本项目的优惠。不按</w:t>
      </w:r>
      <w:r>
        <w:rPr>
          <w:rFonts w:hint="eastAsia" w:ascii="宋体" w:hAnsi="宋体" w:eastAsia="宋体" w:cs="宋体"/>
          <w:szCs w:val="21"/>
          <w:lang w:eastAsia="zh-CN"/>
        </w:rPr>
        <w:t>竞争性谈判</w:t>
      </w:r>
      <w:r>
        <w:rPr>
          <w:rFonts w:hint="eastAsia" w:ascii="宋体" w:hAnsi="宋体" w:eastAsia="宋体" w:cs="宋体"/>
          <w:szCs w:val="21"/>
        </w:rPr>
        <w:t>文件的要求提谈判供响应文件，导致报价无效，责任自负。</w:t>
      </w:r>
    </w:p>
    <w:p>
      <w:pPr>
        <w:snapToGrid w:val="0"/>
        <w:spacing w:line="480" w:lineRule="exact"/>
        <w:rPr>
          <w:rFonts w:hint="eastAsia" w:ascii="宋体" w:hAnsi="宋体" w:eastAsia="宋体" w:cs="宋体"/>
          <w:b/>
          <w:sz w:val="21"/>
          <w:szCs w:val="21"/>
        </w:rPr>
      </w:pP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九</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rPr>
        <w:t>本次谈判项目的商务报价，</w:t>
      </w:r>
      <w:r>
        <w:rPr>
          <w:rFonts w:hint="eastAsia" w:ascii="宋体" w:hAnsi="宋体" w:eastAsia="宋体" w:cs="宋体"/>
          <w:b/>
          <w:color w:val="000000"/>
          <w:sz w:val="21"/>
          <w:szCs w:val="21"/>
          <w:highlight w:val="none"/>
        </w:rPr>
        <w:t>原则上</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次，首次报价不得超过项目预算</w:t>
      </w:r>
      <w:r>
        <w:rPr>
          <w:rFonts w:hint="eastAsia" w:ascii="宋体" w:hAnsi="宋体" w:cs="宋体"/>
          <w:b/>
          <w:color w:val="000000"/>
          <w:sz w:val="21"/>
          <w:szCs w:val="21"/>
          <w:highlight w:val="none"/>
          <w:lang w:val="en-US" w:eastAsia="zh-CN"/>
        </w:rPr>
        <w:t>19.8</w:t>
      </w:r>
      <w:r>
        <w:rPr>
          <w:rFonts w:hint="eastAsia" w:ascii="宋体" w:hAnsi="宋体" w:eastAsia="宋体" w:cs="宋体"/>
          <w:b/>
          <w:color w:val="000000"/>
          <w:sz w:val="21"/>
          <w:szCs w:val="21"/>
          <w:highlight w:val="none"/>
        </w:rPr>
        <w:t>万元，</w:t>
      </w:r>
      <w:r>
        <w:rPr>
          <w:rFonts w:hint="eastAsia" w:ascii="宋体" w:hAnsi="宋体" w:eastAsia="宋体" w:cs="宋体"/>
          <w:color w:val="000000"/>
          <w:sz w:val="21"/>
          <w:szCs w:val="21"/>
        </w:rPr>
        <w:t>各</w:t>
      </w:r>
      <w:r>
        <w:rPr>
          <w:rFonts w:hint="eastAsia" w:ascii="宋体" w:hAnsi="宋体" w:eastAsia="宋体" w:cs="宋体"/>
          <w:color w:val="000000"/>
          <w:sz w:val="21"/>
          <w:szCs w:val="21"/>
          <w:lang w:eastAsia="zh-CN"/>
        </w:rPr>
        <w:t>谈判供应商</w:t>
      </w:r>
      <w:r>
        <w:rPr>
          <w:rFonts w:hint="eastAsia" w:ascii="宋体" w:hAnsi="宋体" w:eastAsia="宋体" w:cs="宋体"/>
          <w:sz w:val="21"/>
          <w:szCs w:val="21"/>
        </w:rPr>
        <w:t>的后一轮报价不得超出自己前一轮的报价，否则作无效报价处理。</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（十）</w:t>
      </w:r>
      <w:r>
        <w:rPr>
          <w:rFonts w:hint="eastAsia" w:ascii="宋体" w:hAnsi="宋体" w:eastAsia="宋体" w:cs="宋体"/>
          <w:color w:val="000000"/>
          <w:sz w:val="21"/>
          <w:szCs w:val="21"/>
        </w:rPr>
        <w:t>最终报价将作为谈判小组评定成交谈判供应商的依据。</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（十</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color w:val="000000"/>
          <w:sz w:val="21"/>
          <w:szCs w:val="21"/>
        </w:rPr>
        <w:t>竞争性谈判的最终报价为成交价，同时，</w:t>
      </w:r>
      <w:r>
        <w:rPr>
          <w:rFonts w:hint="eastAsia" w:ascii="宋体" w:hAnsi="宋体" w:eastAsia="宋体" w:cs="宋体"/>
          <w:color w:val="000000"/>
          <w:sz w:val="21"/>
          <w:szCs w:val="21"/>
          <w:lang w:eastAsia="zh-CN"/>
        </w:rPr>
        <w:t>谈判供应商</w:t>
      </w:r>
      <w:r>
        <w:rPr>
          <w:rFonts w:hint="eastAsia" w:ascii="宋体" w:hAnsi="宋体" w:eastAsia="宋体" w:cs="宋体"/>
          <w:color w:val="000000"/>
          <w:sz w:val="21"/>
          <w:szCs w:val="21"/>
        </w:rPr>
        <w:t>的最终成交价在合同实施期间不因市场变化因素而变动。</w:t>
      </w:r>
    </w:p>
    <w:p>
      <w:pPr>
        <w:snapToGrid w:val="0"/>
        <w:spacing w:line="480" w:lineRule="exact"/>
        <w:ind w:firstLine="210" w:firstLineChars="100"/>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（十二）</w:t>
      </w:r>
      <w:r>
        <w:rPr>
          <w:rFonts w:hint="eastAsia" w:ascii="宋体" w:hAnsi="宋体" w:eastAsia="宋体" w:cs="宋体"/>
          <w:color w:val="000000"/>
          <w:sz w:val="21"/>
          <w:szCs w:val="21"/>
          <w:lang w:eastAsia="zh-CN"/>
        </w:rPr>
        <w:t>本项目投标人独立承担用人风险，自行制订防范用人风险方案。用人单位自行建立风险管理调控机制，对意外伤害或工伤等风险充分预估，报价时自行考虑，一旦出现上述问题，采购方不承担任何连带赔偿责任。</w:t>
      </w:r>
    </w:p>
    <w:p>
      <w:pPr>
        <w:pStyle w:val="2"/>
        <w:rPr>
          <w:rFonts w:hint="eastAsia"/>
        </w:rPr>
      </w:pPr>
    </w:p>
    <w:p>
      <w:pPr>
        <w:snapToGrid w:val="0"/>
        <w:spacing w:line="480" w:lineRule="exact"/>
        <w:rPr>
          <w:rFonts w:hint="eastAsia" w:ascii="宋体" w:hAnsi="宋体" w:eastAsia="宋体" w:cs="宋体"/>
          <w:b/>
          <w:color w:val="000000"/>
          <w:sz w:val="28"/>
          <w:szCs w:val="28"/>
        </w:rPr>
      </w:pPr>
      <w:bookmarkStart w:id="30" w:name="_Toc446695390"/>
      <w:r>
        <w:rPr>
          <w:rFonts w:hint="eastAsia" w:ascii="宋体" w:hAnsi="宋体" w:eastAsia="宋体" w:cs="宋体"/>
          <w:b/>
          <w:color w:val="000000"/>
          <w:sz w:val="28"/>
          <w:szCs w:val="28"/>
        </w:rPr>
        <w:t>八、谈判保证金退还</w:t>
      </w:r>
      <w:bookmarkEnd w:id="30"/>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采购代理机构在采购活动结束后及时退还未成交谈判供应商的谈判保证金，但因谈判供应商自身原因导致无法及时退还的除外。成</w:t>
      </w:r>
      <w:r>
        <w:rPr>
          <w:rFonts w:hint="eastAsia" w:ascii="宋体" w:hAnsi="宋体" w:eastAsia="宋体" w:cs="宋体"/>
          <w:bCs/>
          <w:sz w:val="21"/>
          <w:szCs w:val="21"/>
        </w:rPr>
        <w:t>交谈判供应商的谈判保证金将在采</w:t>
      </w:r>
      <w:r>
        <w:rPr>
          <w:rFonts w:hint="eastAsia" w:ascii="宋体" w:hAnsi="宋体" w:eastAsia="宋体" w:cs="宋体"/>
          <w:color w:val="000000"/>
          <w:sz w:val="21"/>
          <w:szCs w:val="21"/>
        </w:rPr>
        <w:t>购人与</w:t>
      </w:r>
      <w:r>
        <w:rPr>
          <w:rFonts w:hint="eastAsia" w:ascii="宋体" w:hAnsi="宋体" w:eastAsia="宋体" w:cs="宋体"/>
          <w:color w:val="000000"/>
          <w:sz w:val="21"/>
          <w:szCs w:val="21"/>
          <w:lang w:eastAsia="zh-CN"/>
        </w:rPr>
        <w:t>成交供应商</w:t>
      </w:r>
      <w:r>
        <w:rPr>
          <w:rFonts w:hint="eastAsia" w:ascii="宋体" w:hAnsi="宋体" w:eastAsia="宋体" w:cs="宋体"/>
          <w:color w:val="000000"/>
          <w:sz w:val="21"/>
          <w:szCs w:val="21"/>
        </w:rPr>
        <w:t>签订合同生效后 5个工作日内，予以退还（无息）。</w:t>
      </w:r>
    </w:p>
    <w:p>
      <w:pPr>
        <w:snapToGrid w:val="0"/>
        <w:spacing w:line="480" w:lineRule="exact"/>
        <w:ind w:firstLine="432" w:firstLineChars="206"/>
        <w:rPr>
          <w:rFonts w:hint="eastAsia" w:ascii="宋体" w:hAnsi="宋体" w:eastAsia="宋体" w:cs="宋体"/>
          <w:color w:val="000000"/>
          <w:sz w:val="21"/>
          <w:szCs w:val="21"/>
        </w:rPr>
      </w:pPr>
      <w:r>
        <w:rPr>
          <w:rFonts w:hint="eastAsia" w:ascii="宋体" w:hAnsi="宋体" w:eastAsia="宋体" w:cs="宋体"/>
          <w:color w:val="000000"/>
          <w:sz w:val="21"/>
          <w:szCs w:val="21"/>
        </w:rPr>
        <w:t>有下列情形之一的，谈判保证金不予退还：</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（一）谈判供应商在提交响应文件截止时间后撤回响应文件的；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（二）谈判供应商在响应文件中提供虚假材料的；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（三）除因不可抗力或谈判文件认可的情形以外，成交谈判供应商不按规定与采购人签订合同的；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（四）谈判供应商与采购单位、其他谈判供应商或者采购代理机构恶意串通的；</w:t>
      </w:r>
    </w:p>
    <w:p>
      <w:pPr>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（五）谈判文件规定的其他情形。</w:t>
      </w:r>
    </w:p>
    <w:p>
      <w:pPr>
        <w:snapToGrid w:val="0"/>
        <w:spacing w:line="480" w:lineRule="exact"/>
        <w:ind w:firstLine="432" w:firstLineChars="206"/>
        <w:rPr>
          <w:rFonts w:hint="eastAsia" w:ascii="宋体" w:hAnsi="宋体" w:eastAsia="宋体" w:cs="宋体"/>
          <w:bCs/>
          <w:sz w:val="21"/>
          <w:szCs w:val="21"/>
        </w:rPr>
      </w:pPr>
      <w:r>
        <w:rPr>
          <w:rFonts w:hint="eastAsia" w:ascii="宋体" w:hAnsi="宋体" w:eastAsia="宋体" w:cs="宋体"/>
          <w:color w:val="000000"/>
          <w:sz w:val="21"/>
          <w:szCs w:val="21"/>
        </w:rPr>
        <w:t>已提交响应文件的谈判供应商，在提交最后报价之前，可以根据谈判情况退出谈判，但须以书面形式说明退出谈判的原因，</w:t>
      </w:r>
      <w:r>
        <w:rPr>
          <w:rFonts w:hint="eastAsia" w:ascii="宋体" w:hAnsi="宋体" w:eastAsia="宋体" w:cs="宋体"/>
          <w:bCs/>
          <w:sz w:val="21"/>
          <w:szCs w:val="21"/>
        </w:rPr>
        <w:t>经竞争性谈判小组同意可以退还其缴纳的谈判保证金。</w:t>
      </w:r>
    </w:p>
    <w:p>
      <w:pPr>
        <w:snapToGrid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九</w:t>
      </w:r>
      <w:r>
        <w:rPr>
          <w:rFonts w:hint="eastAsia" w:ascii="宋体" w:hAnsi="宋体" w:eastAsia="宋体" w:cs="宋体"/>
          <w:b/>
          <w:color w:val="000000"/>
          <w:sz w:val="28"/>
          <w:szCs w:val="28"/>
        </w:rPr>
        <w:t>、履约保证金</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(1)本项目成交后的履约保证金为项目合同总价款的</w:t>
      </w:r>
      <w:r>
        <w:rPr>
          <w:rFonts w:hint="eastAsia" w:ascii="宋体" w:hAnsi="宋体" w:eastAsia="宋体" w:cs="宋体"/>
          <w:kern w:val="0"/>
          <w:sz w:val="21"/>
          <w:szCs w:val="21"/>
          <w:highlight w:val="none"/>
          <w:u w:val="single"/>
        </w:rPr>
        <w:t>10%</w:t>
      </w:r>
      <w:r>
        <w:rPr>
          <w:rFonts w:hint="eastAsia" w:ascii="宋体" w:hAnsi="宋体" w:eastAsia="宋体" w:cs="宋体"/>
          <w:kern w:val="0"/>
          <w:sz w:val="21"/>
          <w:szCs w:val="21"/>
          <w:highlight w:val="none"/>
        </w:rPr>
        <w:t>。</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(2)成交供应商的履约保证金须在成交通知书发出</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lang w:val="en-US" w:eastAsia="zh-CN"/>
        </w:rPr>
        <w:t>个工作日</w:t>
      </w:r>
      <w:r>
        <w:rPr>
          <w:rFonts w:hint="eastAsia" w:ascii="宋体" w:hAnsi="宋体" w:eastAsia="宋体" w:cs="宋体"/>
          <w:kern w:val="0"/>
          <w:sz w:val="21"/>
          <w:szCs w:val="21"/>
          <w:highlight w:val="none"/>
        </w:rPr>
        <w:t>内汇入采购单位账户，成交供应商在成交通知书发出后</w:t>
      </w:r>
      <w:r>
        <w:rPr>
          <w:rFonts w:hint="eastAsia" w:ascii="宋体" w:hAnsi="宋体" w:cs="宋体"/>
          <w:kern w:val="0"/>
          <w:sz w:val="21"/>
          <w:szCs w:val="21"/>
          <w:highlight w:val="none"/>
          <w:lang w:val="en-US" w:eastAsia="zh-CN"/>
        </w:rPr>
        <w:t>3</w:t>
      </w:r>
      <w:r>
        <w:rPr>
          <w:rFonts w:hint="eastAsia" w:ascii="宋体" w:hAnsi="宋体" w:eastAsia="宋体" w:cs="宋体"/>
          <w:kern w:val="0"/>
          <w:sz w:val="21"/>
          <w:szCs w:val="21"/>
          <w:highlight w:val="none"/>
          <w:lang w:val="en-US" w:eastAsia="zh-CN"/>
        </w:rPr>
        <w:t>个工作</w:t>
      </w:r>
      <w:r>
        <w:rPr>
          <w:rFonts w:hint="eastAsia" w:ascii="宋体" w:hAnsi="宋体" w:eastAsia="宋体" w:cs="宋体"/>
          <w:kern w:val="0"/>
          <w:sz w:val="21"/>
          <w:szCs w:val="21"/>
          <w:highlight w:val="none"/>
        </w:rPr>
        <w:t>日内与采购单位签订合同。超期或未有协商，则视为自动放弃成交资格。</w:t>
      </w:r>
    </w:p>
    <w:p>
      <w:pPr>
        <w:widowControl/>
        <w:spacing w:line="5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(3)成交供应商在按要求保质保量的完成该项目合同并通过验收后，采购单位凭成交供应商提交的申请，一次性无息退还该合同项目的履约保证金。</w:t>
      </w:r>
    </w:p>
    <w:p>
      <w:pPr>
        <w:spacing w:line="48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(4)由于成交供应商原因，在签订合同后出现不按合同履行的情况，采购单位有权将履约保证金作为违约金，全额不予退还，同时采购单位亦有权终止合同，成交供应商还须承担相应的法律赔偿责任。</w:t>
      </w:r>
    </w:p>
    <w:p>
      <w:pPr>
        <w:pStyle w:val="20"/>
        <w:rPr>
          <w:rFonts w:hint="eastAsia"/>
        </w:rPr>
      </w:pPr>
    </w:p>
    <w:p>
      <w:pPr>
        <w:snapToGrid w:val="0"/>
        <w:spacing w:line="480" w:lineRule="exact"/>
        <w:outlineLvl w:val="1"/>
        <w:rPr>
          <w:rFonts w:hint="eastAsia" w:ascii="宋体" w:hAnsi="宋体" w:eastAsia="宋体" w:cs="宋体"/>
          <w:sz w:val="28"/>
          <w:szCs w:val="28"/>
        </w:rPr>
      </w:pPr>
      <w:bookmarkStart w:id="31" w:name="_Toc446695405"/>
      <w:r>
        <w:rPr>
          <w:rFonts w:hint="eastAsia" w:ascii="宋体" w:hAnsi="宋体" w:eastAsia="宋体" w:cs="宋体"/>
          <w:b/>
          <w:bCs/>
          <w:sz w:val="28"/>
          <w:szCs w:val="28"/>
        </w:rPr>
        <w:t>十、谈判响应文件及</w:t>
      </w:r>
      <w:r>
        <w:rPr>
          <w:rFonts w:hint="eastAsia" w:ascii="宋体" w:hAnsi="宋体" w:eastAsia="宋体" w:cs="宋体"/>
          <w:b/>
          <w:kern w:val="0"/>
          <w:sz w:val="28"/>
          <w:szCs w:val="28"/>
        </w:rPr>
        <w:t>谈判</w:t>
      </w:r>
      <w:r>
        <w:rPr>
          <w:rFonts w:hint="eastAsia" w:ascii="宋体" w:hAnsi="宋体" w:eastAsia="宋体" w:cs="宋体"/>
          <w:b/>
          <w:bCs/>
          <w:sz w:val="28"/>
          <w:szCs w:val="28"/>
        </w:rPr>
        <w:t>费用</w:t>
      </w:r>
      <w:bookmarkEnd w:id="31"/>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谈判</w:t>
      </w:r>
      <w:r>
        <w:rPr>
          <w:rFonts w:hint="eastAsia" w:ascii="宋体" w:hAnsi="宋体" w:eastAsia="宋体" w:cs="宋体"/>
          <w:sz w:val="21"/>
          <w:szCs w:val="21"/>
        </w:rPr>
        <w:t>文件每套售价300元（现金），在递交</w:t>
      </w:r>
      <w:r>
        <w:rPr>
          <w:rFonts w:hint="eastAsia" w:ascii="宋体" w:hAnsi="宋体" w:eastAsia="宋体" w:cs="宋体"/>
          <w:sz w:val="21"/>
          <w:szCs w:val="21"/>
          <w:lang w:eastAsia="zh-CN"/>
        </w:rPr>
        <w:t>谈判</w:t>
      </w:r>
      <w:r>
        <w:rPr>
          <w:rFonts w:hint="eastAsia" w:ascii="宋体" w:hAnsi="宋体" w:eastAsia="宋体" w:cs="宋体"/>
          <w:sz w:val="21"/>
          <w:szCs w:val="21"/>
        </w:rPr>
        <w:t>响应文件的同时提交给招标代理机构。</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2、本项目招标代理服务费及评委费由成交供应商支付。招标代理服务费</w:t>
      </w:r>
      <w:r>
        <w:rPr>
          <w:rFonts w:hint="eastAsia" w:ascii="宋体" w:hAnsi="宋体" w:eastAsia="宋体" w:cs="宋体"/>
          <w:sz w:val="21"/>
          <w:szCs w:val="21"/>
          <w:lang w:val="en-US" w:eastAsia="zh-CN"/>
        </w:rPr>
        <w:t>2500</w:t>
      </w:r>
      <w:r>
        <w:rPr>
          <w:rFonts w:hint="eastAsia" w:ascii="宋体" w:hAnsi="宋体" w:eastAsia="宋体" w:cs="宋体"/>
          <w:sz w:val="21"/>
          <w:szCs w:val="21"/>
        </w:rPr>
        <w:t>元。评委费按实支付。</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谈判</w:t>
      </w:r>
      <w:r>
        <w:rPr>
          <w:rFonts w:hint="eastAsia" w:ascii="宋体" w:hAnsi="宋体" w:eastAsia="宋体" w:cs="宋体"/>
          <w:sz w:val="21"/>
          <w:szCs w:val="21"/>
        </w:rPr>
        <w:t>程序顺利进行后，除供应商的原件可退回外，其余所有的响应文件都将作为档案保存，不论成交与否，代理机构均不退回。</w:t>
      </w:r>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4、无论</w:t>
      </w:r>
      <w:r>
        <w:rPr>
          <w:rFonts w:hint="eastAsia" w:ascii="宋体" w:hAnsi="宋体" w:eastAsia="宋体" w:cs="宋体"/>
          <w:sz w:val="21"/>
          <w:szCs w:val="21"/>
          <w:lang w:eastAsia="zh-CN"/>
        </w:rPr>
        <w:t>谈判</w:t>
      </w:r>
      <w:r>
        <w:rPr>
          <w:rFonts w:hint="eastAsia" w:ascii="宋体" w:hAnsi="宋体" w:eastAsia="宋体" w:cs="宋体"/>
          <w:sz w:val="21"/>
          <w:szCs w:val="21"/>
        </w:rPr>
        <w:t>过程和结果如何，参加项目</w:t>
      </w:r>
      <w:r>
        <w:rPr>
          <w:rFonts w:hint="eastAsia" w:ascii="宋体" w:hAnsi="宋体" w:eastAsia="宋体" w:cs="宋体"/>
          <w:sz w:val="21"/>
          <w:szCs w:val="21"/>
          <w:lang w:eastAsia="zh-CN"/>
        </w:rPr>
        <w:t>谈判</w:t>
      </w:r>
      <w:r>
        <w:rPr>
          <w:rFonts w:hint="eastAsia" w:ascii="宋体" w:hAnsi="宋体" w:eastAsia="宋体" w:cs="宋体"/>
          <w:sz w:val="21"/>
          <w:szCs w:val="21"/>
        </w:rPr>
        <w:t>的供应商自行承担与本次项目</w:t>
      </w:r>
      <w:r>
        <w:rPr>
          <w:rFonts w:hint="eastAsia" w:ascii="宋体" w:hAnsi="宋体" w:eastAsia="宋体" w:cs="宋体"/>
          <w:sz w:val="21"/>
          <w:szCs w:val="21"/>
          <w:lang w:eastAsia="zh-CN"/>
        </w:rPr>
        <w:t>谈判</w:t>
      </w:r>
      <w:r>
        <w:rPr>
          <w:rFonts w:hint="eastAsia" w:ascii="宋体" w:hAnsi="宋体" w:eastAsia="宋体" w:cs="宋体"/>
          <w:sz w:val="21"/>
          <w:szCs w:val="21"/>
        </w:rPr>
        <w:t>有关的全部费用。</w:t>
      </w:r>
    </w:p>
    <w:p/>
    <w:p>
      <w:pPr>
        <w:snapToGrid w:val="0"/>
        <w:spacing w:line="480" w:lineRule="exact"/>
        <w:outlineLvl w:val="1"/>
        <w:rPr>
          <w:rFonts w:hint="eastAsia" w:ascii="宋体" w:hAnsi="宋体" w:eastAsia="宋体" w:cs="宋体"/>
          <w:b/>
          <w:sz w:val="21"/>
          <w:szCs w:val="21"/>
        </w:rPr>
      </w:pPr>
      <w:bookmarkStart w:id="32" w:name="_Toc446695408"/>
      <w:r>
        <w:rPr>
          <w:rFonts w:hint="eastAsia" w:ascii="宋体" w:hAnsi="宋体" w:eastAsia="宋体" w:cs="宋体"/>
          <w:b/>
          <w:sz w:val="28"/>
          <w:szCs w:val="28"/>
        </w:rPr>
        <w:t>十一、未尽事宜</w:t>
      </w:r>
      <w:bookmarkEnd w:id="32"/>
    </w:p>
    <w:p>
      <w:pPr>
        <w:snapToGrid w:val="0"/>
        <w:spacing w:line="480" w:lineRule="exact"/>
        <w:ind w:firstLine="432" w:firstLineChars="206"/>
        <w:rPr>
          <w:rFonts w:hint="eastAsia" w:ascii="宋体" w:hAnsi="宋体" w:eastAsia="宋体" w:cs="宋体"/>
          <w:sz w:val="21"/>
          <w:szCs w:val="21"/>
        </w:rPr>
      </w:pPr>
      <w:r>
        <w:rPr>
          <w:rFonts w:hint="eastAsia" w:ascii="宋体" w:hAnsi="宋体" w:eastAsia="宋体" w:cs="宋体"/>
          <w:sz w:val="21"/>
          <w:szCs w:val="21"/>
        </w:rPr>
        <w:t>按《中华人民共和国政府采</w:t>
      </w:r>
      <w:r>
        <w:rPr>
          <w:rFonts w:hint="eastAsia" w:ascii="宋体" w:hAnsi="宋体" w:eastAsia="宋体" w:cs="宋体"/>
          <w:color w:val="000000"/>
          <w:sz w:val="21"/>
          <w:szCs w:val="21"/>
        </w:rPr>
        <w:t>购法》《政府</w:t>
      </w:r>
      <w:r>
        <w:rPr>
          <w:rFonts w:hint="eastAsia" w:ascii="宋体" w:hAnsi="宋体" w:eastAsia="宋体" w:cs="宋体"/>
          <w:sz w:val="21"/>
          <w:szCs w:val="21"/>
        </w:rPr>
        <w:t>采购非招标采购方式管理办法》及其他有关法律法规的规定执行。</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sz w:val="21"/>
          <w:szCs w:val="21"/>
        </w:rPr>
        <w:br w:type="page"/>
      </w:r>
      <w:bookmarkStart w:id="33" w:name="_Toc446695412"/>
      <w:bookmarkStart w:id="34" w:name="_Toc182849073"/>
    </w:p>
    <w:p>
      <w:pPr>
        <w:jc w:val="center"/>
        <w:rPr>
          <w:rFonts w:ascii="宋体" w:hAnsi="宋体" w:cs="宋体"/>
          <w:sz w:val="44"/>
          <w:szCs w:val="44"/>
          <w:lang w:val="zh-CN"/>
        </w:rPr>
      </w:pPr>
      <w:bookmarkStart w:id="35" w:name="_Toc446695409"/>
      <w:bookmarkStart w:id="36" w:name="_Toc182848971"/>
      <w:r>
        <w:rPr>
          <w:rFonts w:hint="eastAsia" w:ascii="宋体" w:hAnsi="宋体" w:cs="宋体"/>
          <w:b/>
          <w:bCs/>
          <w:sz w:val="44"/>
          <w:szCs w:val="44"/>
          <w:lang w:val="zh-CN"/>
        </w:rPr>
        <w:t>第三章  项目需求</w:t>
      </w:r>
      <w:bookmarkEnd w:id="35"/>
    </w:p>
    <w:bookmarkEnd w:id="36"/>
    <w:p>
      <w:pPr>
        <w:spacing w:line="360" w:lineRule="auto"/>
        <w:rPr>
          <w:rFonts w:ascii="宋体" w:hAnsi="宋体" w:cs="宋体"/>
          <w:b/>
          <w:bCs/>
          <w:szCs w:val="21"/>
        </w:rPr>
      </w:pPr>
      <w:r>
        <w:rPr>
          <w:rFonts w:hint="eastAsia" w:ascii="宋体" w:hAnsi="宋体" w:cs="宋体"/>
          <w:b/>
          <w:bCs/>
          <w:szCs w:val="21"/>
        </w:rPr>
        <w:t>一、设备清单</w:t>
      </w:r>
    </w:p>
    <w:tbl>
      <w:tblPr>
        <w:tblStyle w:val="21"/>
        <w:tblW w:w="10206" w:type="dxa"/>
        <w:tblInd w:w="-572" w:type="dxa"/>
        <w:tblLayout w:type="fixed"/>
        <w:tblCellMar>
          <w:top w:w="15" w:type="dxa"/>
          <w:left w:w="15" w:type="dxa"/>
          <w:bottom w:w="15" w:type="dxa"/>
          <w:right w:w="15" w:type="dxa"/>
        </w:tblCellMar>
      </w:tblPr>
      <w:tblGrid>
        <w:gridCol w:w="1134"/>
        <w:gridCol w:w="1560"/>
        <w:gridCol w:w="4961"/>
        <w:gridCol w:w="567"/>
        <w:gridCol w:w="709"/>
        <w:gridCol w:w="1275"/>
      </w:tblGrid>
      <w:tr>
        <w:tblPrEx>
          <w:tblCellMar>
            <w:top w:w="15" w:type="dxa"/>
            <w:left w:w="15" w:type="dxa"/>
            <w:bottom w:w="15" w:type="dxa"/>
            <w:right w:w="15" w:type="dxa"/>
          </w:tblCellMar>
        </w:tblPrEx>
        <w:trPr>
          <w:trHeight w:val="33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名称</w:t>
            </w:r>
          </w:p>
        </w:tc>
        <w:tc>
          <w:tcPr>
            <w:tcW w:w="496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技术参数以及要求</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单位</w:t>
            </w:r>
          </w:p>
        </w:tc>
        <w:tc>
          <w:tcPr>
            <w:tcW w:w="709"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数量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bCs/>
                <w:sz w:val="28"/>
                <w:szCs w:val="28"/>
              </w:rPr>
            </w:pPr>
            <w:r>
              <w:rPr>
                <w:rFonts w:hint="eastAsia" w:ascii="宋体" w:hAnsi="宋体" w:cs="宋体"/>
                <w:b/>
                <w:bCs/>
                <w:sz w:val="28"/>
                <w:szCs w:val="28"/>
              </w:rPr>
              <w:t>备注</w:t>
            </w:r>
          </w:p>
        </w:tc>
      </w:tr>
      <w:tr>
        <w:tblPrEx>
          <w:tblCellMar>
            <w:top w:w="15" w:type="dxa"/>
            <w:left w:w="15" w:type="dxa"/>
            <w:bottom w:w="15" w:type="dxa"/>
            <w:right w:w="15" w:type="dxa"/>
          </w:tblCellMar>
        </w:tblPrEx>
        <w:trPr>
          <w:trHeight w:val="33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餐厅数字化管理平台</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4"/>
              </w:numPr>
              <w:ind w:firstLineChars="0"/>
              <w:jc w:val="left"/>
              <w:rPr>
                <w:rFonts w:ascii="宋体" w:hAnsi="宋体" w:cs="宋体"/>
                <w:bCs/>
                <w:color w:val="000000"/>
                <w:szCs w:val="21"/>
              </w:rPr>
            </w:pPr>
            <w:r>
              <w:rPr>
                <w:rFonts w:hint="eastAsia" w:ascii="宋体" w:hAnsi="宋体" w:cs="宋体"/>
                <w:bCs/>
                <w:color w:val="000000"/>
                <w:szCs w:val="21"/>
              </w:rPr>
              <w:t>为食堂提供人员管理、菜品管理、采购管理、福利管理、卡务管理、排菜管理、营业监控、报表管理、食品安全管理等功能；</w:t>
            </w:r>
          </w:p>
          <w:p>
            <w:pPr>
              <w:pStyle w:val="48"/>
              <w:numPr>
                <w:ilvl w:val="0"/>
                <w:numId w:val="4"/>
              </w:numPr>
              <w:ind w:firstLineChars="0"/>
              <w:jc w:val="left"/>
              <w:rPr>
                <w:rFonts w:ascii="宋体" w:hAnsi="宋体" w:cs="宋体"/>
                <w:bCs/>
                <w:color w:val="000000"/>
                <w:szCs w:val="21"/>
              </w:rPr>
            </w:pPr>
            <w:r>
              <w:rPr>
                <w:rFonts w:hint="eastAsia" w:ascii="宋体" w:hAnsi="宋体" w:cs="宋体"/>
                <w:bCs/>
                <w:color w:val="000000"/>
                <w:szCs w:val="21"/>
              </w:rPr>
              <w:t>基于B/S架构，可实现web端登录，实现对平台下多个餐厅的集中管控和数据的实时监控；</w:t>
            </w:r>
          </w:p>
          <w:p>
            <w:pPr>
              <w:pStyle w:val="48"/>
              <w:numPr>
                <w:ilvl w:val="0"/>
                <w:numId w:val="4"/>
              </w:numPr>
              <w:ind w:firstLineChars="0"/>
              <w:jc w:val="left"/>
              <w:rPr>
                <w:rFonts w:ascii="宋体" w:hAnsi="宋体" w:cs="宋体"/>
                <w:bCs/>
                <w:color w:val="000000"/>
                <w:szCs w:val="21"/>
              </w:rPr>
            </w:pPr>
            <w:r>
              <w:rPr>
                <w:rFonts w:hint="eastAsia" w:cs="华文细黑" w:asciiTheme="minorEastAsia" w:hAnsiTheme="minorEastAsia"/>
                <w:bCs/>
                <w:color w:val="000000"/>
                <w:szCs w:val="21"/>
              </w:rPr>
              <w:t>提供菜品溯源功能，当发生食品安全事件时，可根据人员查找共同食用菜品信息，追溯食材来源，通过菜品信息追溯有哪些人食用，以便于即时通知人员就医检查。溯源结果支持导出功能。</w:t>
            </w:r>
          </w:p>
          <w:p>
            <w:pPr>
              <w:pStyle w:val="48"/>
              <w:numPr>
                <w:ilvl w:val="0"/>
                <w:numId w:val="4"/>
              </w:numPr>
              <w:ind w:firstLineChars="0"/>
              <w:jc w:val="left"/>
              <w:rPr>
                <w:rFonts w:ascii="宋体" w:hAnsi="宋体" w:cs="宋体"/>
                <w:bCs/>
                <w:color w:val="000000"/>
                <w:szCs w:val="21"/>
              </w:rPr>
            </w:pPr>
            <w:r>
              <w:rPr>
                <w:rFonts w:hint="eastAsia"/>
              </w:rPr>
              <w:t>根据卡号查询未开据发票的充值记录，显示已开票和剩余可开票金额，可手工添写开票金额及开票单位，生成开票记录；</w:t>
            </w:r>
          </w:p>
          <w:p>
            <w:pPr>
              <w:pStyle w:val="48"/>
              <w:numPr>
                <w:ilvl w:val="0"/>
                <w:numId w:val="4"/>
              </w:numPr>
              <w:ind w:firstLineChars="0"/>
              <w:jc w:val="left"/>
              <w:rPr>
                <w:rFonts w:ascii="宋体" w:hAnsi="宋体" w:cs="宋体"/>
                <w:bCs/>
                <w:color w:val="000000"/>
                <w:szCs w:val="21"/>
              </w:rPr>
            </w:pPr>
            <w:r>
              <w:rPr>
                <w:rFonts w:hint="eastAsia" w:ascii="宋体" w:hAnsi="宋体" w:cs="宋体"/>
                <w:bCs/>
                <w:color w:val="000000"/>
                <w:szCs w:val="21"/>
              </w:rPr>
              <w:t>可设置至少10种卡类型；</w:t>
            </w:r>
          </w:p>
          <w:p>
            <w:pPr>
              <w:pStyle w:val="48"/>
              <w:numPr>
                <w:ilvl w:val="0"/>
                <w:numId w:val="4"/>
              </w:numPr>
              <w:ind w:firstLineChars="0"/>
              <w:jc w:val="left"/>
            </w:pPr>
            <w:r>
              <w:rPr>
                <w:rFonts w:hint="eastAsia" w:cs="华文细黑" w:asciiTheme="minorEastAsia" w:hAnsiTheme="minorEastAsia"/>
                <w:bCs/>
                <w:color w:val="000000"/>
                <w:szCs w:val="21"/>
              </w:rPr>
              <w:t>▲</w:t>
            </w:r>
            <w:r>
              <w:rPr>
                <w:rFonts w:hint="eastAsia"/>
              </w:rPr>
              <w:t>具有卡务管理功能，包括卡类型管理、单个卡管理和批量卡务管理，可按卡类型名称、押金、发卡工本费、换卡工本费等相关业务信息实现卡类型管理，支持单个发卡、充值，挂失、解挂、退款、展期、人员资料修改等操作，支持批量发卡、充值、挂失、解挂、退款、展期等批量操作；</w:t>
            </w:r>
            <w:r>
              <w:t xml:space="preserve"> </w:t>
            </w:r>
          </w:p>
          <w:p>
            <w:pPr>
              <w:pStyle w:val="48"/>
              <w:numPr>
                <w:ilvl w:val="0"/>
                <w:numId w:val="4"/>
              </w:numPr>
              <w:ind w:firstLineChars="0"/>
              <w:jc w:val="left"/>
            </w:pPr>
            <w:r>
              <w:rPr>
                <w:rFonts w:hint="eastAsia"/>
              </w:rPr>
              <w:t>卡流水查询支持按“卡号/姓名/手机号”、“餐厅”、“终端”、“交易时间”、“交易</w:t>
            </w:r>
            <w:r>
              <w:t>类型</w:t>
            </w:r>
            <w:r>
              <w:rPr>
                <w:rFonts w:hint="eastAsia"/>
              </w:rPr>
              <w:t>”、“支付</w:t>
            </w:r>
            <w:r>
              <w:t>类型</w:t>
            </w:r>
            <w:r>
              <w:rPr>
                <w:rFonts w:hint="eastAsia"/>
              </w:rPr>
              <w:t>”、</w:t>
            </w:r>
            <w:r>
              <w:t>“</w:t>
            </w:r>
            <w:r>
              <w:rPr>
                <w:rFonts w:hint="eastAsia"/>
              </w:rPr>
              <w:t>卡</w:t>
            </w:r>
            <w:r>
              <w:t>类型”</w:t>
            </w:r>
            <w:r>
              <w:rPr>
                <w:rFonts w:hint="eastAsia"/>
              </w:rPr>
              <w:t>、</w:t>
            </w:r>
            <w:r>
              <w:t>“</w:t>
            </w:r>
            <w:r>
              <w:rPr>
                <w:rFonts w:hint="eastAsia"/>
              </w:rPr>
              <w:t>消</w:t>
            </w:r>
            <w:r>
              <w:t>费账户”</w:t>
            </w:r>
            <w:r>
              <w:rPr>
                <w:rFonts w:hint="eastAsia"/>
              </w:rPr>
              <w:t>等条</w:t>
            </w:r>
            <w:r>
              <w:t>件</w:t>
            </w:r>
            <w:r>
              <w:rPr>
                <w:rFonts w:hint="eastAsia"/>
              </w:rPr>
              <w:t>查询会员卡流水日志信息，同</w:t>
            </w:r>
            <w:r>
              <w:t>时提供</w:t>
            </w:r>
            <w:r>
              <w:rPr>
                <w:rFonts w:hint="eastAsia"/>
              </w:rPr>
              <w:t>充值撤单、补贴撤单、</w:t>
            </w:r>
            <w:r>
              <w:t>导出</w:t>
            </w:r>
            <w:r>
              <w:rPr>
                <w:rFonts w:hint="eastAsia"/>
              </w:rPr>
              <w:t>Excel、</w:t>
            </w:r>
            <w:r>
              <w:t>打印</w:t>
            </w:r>
            <w:r>
              <w:rPr>
                <w:rFonts w:hint="eastAsia"/>
              </w:rPr>
              <w:t>功能；</w:t>
            </w:r>
          </w:p>
          <w:p>
            <w:pPr>
              <w:pStyle w:val="48"/>
              <w:numPr>
                <w:ilvl w:val="0"/>
                <w:numId w:val="4"/>
              </w:numPr>
              <w:ind w:firstLineChars="0"/>
              <w:jc w:val="left"/>
            </w:pPr>
            <w:r>
              <w:rPr>
                <w:rFonts w:hint="eastAsia"/>
              </w:rPr>
              <w:t>卡务操作使用受角色权限控制和动态口令的双重安全机制进行保护，数据更安全；</w:t>
            </w:r>
          </w:p>
          <w:p>
            <w:pPr>
              <w:pStyle w:val="48"/>
              <w:numPr>
                <w:ilvl w:val="0"/>
                <w:numId w:val="4"/>
              </w:numPr>
              <w:ind w:firstLineChars="0"/>
              <w:jc w:val="left"/>
            </w:pPr>
            <w:r>
              <w:rPr>
                <w:rFonts w:hint="eastAsia"/>
              </w:rPr>
              <w:t>提供附卡绑定、解绑及消费查询功能；</w:t>
            </w:r>
          </w:p>
          <w:p>
            <w:pPr>
              <w:pStyle w:val="48"/>
              <w:numPr>
                <w:ilvl w:val="0"/>
                <w:numId w:val="4"/>
              </w:numPr>
              <w:ind w:firstLineChars="0"/>
            </w:pPr>
            <w:r>
              <w:rPr>
                <w:rFonts w:hint="eastAsia"/>
              </w:rPr>
              <w:t>支持根据实物卡快速查询卡信息，并进行单</w:t>
            </w:r>
            <w:r>
              <w:t>卡</w:t>
            </w:r>
            <w:r>
              <w:rPr>
                <w:rFonts w:hint="eastAsia"/>
              </w:rPr>
              <w:t>补贴、减值、单卡授信额度查询、设置透支额度操作；</w:t>
            </w:r>
          </w:p>
          <w:p>
            <w:pPr>
              <w:pStyle w:val="48"/>
              <w:numPr>
                <w:ilvl w:val="0"/>
                <w:numId w:val="4"/>
              </w:numPr>
              <w:ind w:firstLineChars="0"/>
            </w:pPr>
            <w:r>
              <w:rPr>
                <w:rFonts w:hint="eastAsia" w:cs="华文细黑" w:asciiTheme="minorEastAsia" w:hAnsiTheme="minorEastAsia"/>
                <w:bCs/>
                <w:color w:val="000000"/>
                <w:szCs w:val="21"/>
              </w:rPr>
              <w:t>▲</w:t>
            </w:r>
            <w:r>
              <w:rPr>
                <w:rFonts w:hint="eastAsia"/>
              </w:rPr>
              <w:t>具有福利管理功能，包括补贴管理、高级充值策略管理、高级消费策略管理和补贴计划管理。</w:t>
            </w:r>
          </w:p>
          <w:p>
            <w:pPr>
              <w:pStyle w:val="48"/>
              <w:numPr>
                <w:ilvl w:val="0"/>
                <w:numId w:val="4"/>
              </w:numPr>
              <w:ind w:firstLineChars="0"/>
            </w:pPr>
            <w:r>
              <w:rPr>
                <w:rFonts w:hint="eastAsia"/>
              </w:rPr>
              <w:t>可按节假日补贴、日补贴、周补贴、月补贴等类型实现补贴计划管理</w:t>
            </w:r>
          </w:p>
          <w:p>
            <w:pPr>
              <w:pStyle w:val="48"/>
              <w:numPr>
                <w:ilvl w:val="0"/>
                <w:numId w:val="4"/>
              </w:numPr>
              <w:ind w:firstLineChars="0"/>
            </w:pPr>
            <w:r>
              <w:rPr>
                <w:rFonts w:hint="eastAsia"/>
              </w:rPr>
              <w:t>具有营业看板展示、营业流水查询、营业明细查询、支付方式明细查询、菜品销售排行展示等功能；</w:t>
            </w:r>
          </w:p>
          <w:p>
            <w:pPr>
              <w:pStyle w:val="48"/>
              <w:numPr>
                <w:ilvl w:val="0"/>
                <w:numId w:val="4"/>
              </w:numPr>
              <w:ind w:firstLineChars="0"/>
            </w:pPr>
            <w:r>
              <w:rPr>
                <w:rFonts w:hint="eastAsia"/>
              </w:rPr>
              <w:t>支持对不同单位或不同卡类型用户进行补贴计划管理，</w:t>
            </w:r>
            <w:r>
              <w:t>实现</w:t>
            </w:r>
            <w:r>
              <w:rPr>
                <w:rFonts w:hint="eastAsia"/>
              </w:rPr>
              <w:t>定</w:t>
            </w:r>
            <w:r>
              <w:t>时补贴管理</w:t>
            </w:r>
            <w:r>
              <w:rPr>
                <w:rFonts w:hint="eastAsia"/>
              </w:rPr>
              <w:t>。</w:t>
            </w:r>
            <w:r>
              <w:t>支持按餐厅和时间对策略进行筛选操作</w:t>
            </w:r>
            <w:r>
              <w:rPr>
                <w:rFonts w:hint="eastAsia"/>
              </w:rPr>
              <w:t>；提供</w:t>
            </w:r>
            <w:r>
              <w:t>节假日</w:t>
            </w:r>
            <w:r>
              <w:rPr>
                <w:rFonts w:hint="eastAsia"/>
              </w:rPr>
              <w:t>基础</w:t>
            </w:r>
            <w:r>
              <w:t>信息设置</w:t>
            </w:r>
            <w:r>
              <w:rPr>
                <w:rFonts w:hint="eastAsia"/>
              </w:rPr>
              <w:t>，可</w:t>
            </w:r>
            <w:r>
              <w:t>进行日补贴、周补贴、月补贴</w:t>
            </w:r>
            <w:r>
              <w:rPr>
                <w:rFonts w:hint="eastAsia"/>
              </w:rPr>
              <w:t>，补</w:t>
            </w:r>
            <w:r>
              <w:t>贴</w:t>
            </w:r>
            <w:r>
              <w:rPr>
                <w:rFonts w:hint="eastAsia"/>
              </w:rPr>
              <w:t>过期清零，</w:t>
            </w:r>
            <w:r>
              <w:t>修改、停用/启用和删除功能</w:t>
            </w:r>
            <w:r>
              <w:rPr>
                <w:rFonts w:hint="eastAsia"/>
              </w:rPr>
              <w:t>；</w:t>
            </w:r>
          </w:p>
          <w:p>
            <w:pPr>
              <w:pStyle w:val="48"/>
              <w:numPr>
                <w:ilvl w:val="0"/>
                <w:numId w:val="4"/>
              </w:numPr>
              <w:ind w:firstLineChars="0"/>
            </w:pPr>
            <w:r>
              <w:rPr>
                <w:rFonts w:hint="eastAsia"/>
              </w:rPr>
              <w:t>支持卡充值策略管理，可设定不同的应用策略，实现禁止充值、充值赠送、收取服务费等业务，IFTTT策略执行可进行多种业务组合，可按餐厅或终端设定指定日期进行充值控制，管理更灵活，例如：某种场景的禁止充值；充值赠送指定金额、按充值金额百分比进行充值赠送，同时可设定月充值赠送额度；充值服务费按指定金额或百分比进行服务费收取等；</w:t>
            </w:r>
          </w:p>
          <w:p>
            <w:pPr>
              <w:pStyle w:val="48"/>
              <w:numPr>
                <w:ilvl w:val="0"/>
                <w:numId w:val="4"/>
              </w:numPr>
              <w:ind w:firstLineChars="0"/>
              <w:jc w:val="left"/>
            </w:pPr>
            <w:r>
              <w:rPr>
                <w:rFonts w:hint="eastAsia"/>
              </w:rPr>
              <w:t>支持消</w:t>
            </w:r>
            <w:r>
              <w:t>费策略管理，</w:t>
            </w:r>
            <w:r>
              <w:rPr>
                <w:rFonts w:hint="eastAsia"/>
              </w:rPr>
              <w:t>可指定餐厅、终</w:t>
            </w:r>
            <w:r>
              <w:t>端、</w:t>
            </w:r>
            <w:r>
              <w:rPr>
                <w:rFonts w:hint="eastAsia"/>
              </w:rPr>
              <w:t>餐盘或菜品，支持按</w:t>
            </w:r>
            <w:r>
              <w:t>日</w:t>
            </w:r>
            <w:r>
              <w:rPr>
                <w:rFonts w:hint="eastAsia"/>
              </w:rPr>
              <w:t>或</w:t>
            </w:r>
            <w:r>
              <w:t>周</w:t>
            </w:r>
            <w:r>
              <w:rPr>
                <w:rFonts w:hint="eastAsia"/>
              </w:rPr>
              <w:t>或</w:t>
            </w:r>
            <w:r>
              <w:t>某</w:t>
            </w:r>
            <w:r>
              <w:rPr>
                <w:rFonts w:hint="eastAsia"/>
              </w:rPr>
              <w:t>时段，</w:t>
            </w:r>
            <w:r>
              <w:t>对</w:t>
            </w:r>
            <w:r>
              <w:rPr>
                <w:rFonts w:hint="eastAsia"/>
              </w:rPr>
              <w:t>某一餐别或</w:t>
            </w:r>
            <w:r>
              <w:t>时间范围内</w:t>
            </w:r>
            <w:r>
              <w:rPr>
                <w:rFonts w:hint="eastAsia"/>
              </w:rPr>
              <w:t>，对某一种类型卡或</w:t>
            </w:r>
            <w:r>
              <w:t>全部卡</w:t>
            </w:r>
            <w:r>
              <w:rPr>
                <w:rFonts w:hint="eastAsia"/>
              </w:rPr>
              <w:t>进行消费控制，IFTTT策略执行可进行多种业务组合，管理更灵活：例如:限制消费、消费减免、首单优惠、定额消费、整单折扣、整单优惠、整单特价，也</w:t>
            </w:r>
            <w:r>
              <w:t>可按餐盘或</w:t>
            </w:r>
            <w:r>
              <w:rPr>
                <w:rFonts w:hint="eastAsia"/>
              </w:rPr>
              <w:t>单</w:t>
            </w:r>
            <w:r>
              <w:t>品</w:t>
            </w:r>
            <w:r>
              <w:rPr>
                <w:rFonts w:hint="eastAsia"/>
              </w:rPr>
              <w:t>进</w:t>
            </w:r>
            <w:r>
              <w:t>行消费策略管理，</w:t>
            </w:r>
            <w:r>
              <w:rPr>
                <w:rFonts w:hint="eastAsia"/>
              </w:rPr>
              <w:t>支持单</w:t>
            </w:r>
            <w:r>
              <w:t>品的</w:t>
            </w:r>
            <w:r>
              <w:rPr>
                <w:rFonts w:hint="eastAsia"/>
              </w:rPr>
              <w:t>折</w:t>
            </w:r>
            <w:r>
              <w:t>扣、</w:t>
            </w:r>
            <w:r>
              <w:rPr>
                <w:rFonts w:hint="eastAsia"/>
              </w:rPr>
              <w:t>特</w:t>
            </w:r>
            <w:r>
              <w:t>价</w:t>
            </w:r>
            <w:r>
              <w:rPr>
                <w:rFonts w:hint="eastAsia"/>
              </w:rPr>
              <w:t>、优惠等。</w:t>
            </w:r>
          </w:p>
          <w:p>
            <w:pPr>
              <w:pStyle w:val="48"/>
              <w:numPr>
                <w:ilvl w:val="0"/>
                <w:numId w:val="4"/>
              </w:numPr>
              <w:ind w:firstLineChars="0"/>
              <w:rPr>
                <w:rFonts w:cs="华文细黑" w:asciiTheme="minorEastAsia" w:hAnsiTheme="minorEastAsia"/>
                <w:bCs/>
                <w:color w:val="000000"/>
              </w:rPr>
            </w:pPr>
            <w:r>
              <w:rPr>
                <w:rFonts w:hint="eastAsia" w:cs="华文细黑" w:asciiTheme="minorEastAsia" w:hAnsiTheme="minorEastAsia"/>
                <w:bCs/>
                <w:color w:val="000000"/>
              </w:rPr>
              <w:t>支持菜品管理，可按名称、类别、商品状态、膳食结构查询菜品，支持增</w:t>
            </w:r>
            <w:r>
              <w:rPr>
                <w:rFonts w:cs="华文细黑" w:asciiTheme="minorEastAsia" w:hAnsiTheme="minorEastAsia"/>
                <w:bCs/>
                <w:color w:val="000000"/>
              </w:rPr>
              <w:t>、</w:t>
            </w:r>
            <w:r>
              <w:rPr>
                <w:rFonts w:hint="eastAsia" w:cs="华文细黑" w:asciiTheme="minorEastAsia" w:hAnsiTheme="minorEastAsia"/>
                <w:bCs/>
                <w:color w:val="000000"/>
              </w:rPr>
              <w:t>改</w:t>
            </w:r>
            <w:r>
              <w:rPr>
                <w:rFonts w:cs="华文细黑" w:asciiTheme="minorEastAsia" w:hAnsiTheme="minorEastAsia"/>
                <w:bCs/>
                <w:color w:val="000000"/>
              </w:rPr>
              <w:t>、停</w:t>
            </w:r>
            <w:r>
              <w:rPr>
                <w:rFonts w:hint="eastAsia" w:cs="华文细黑" w:asciiTheme="minorEastAsia" w:hAnsiTheme="minorEastAsia"/>
                <w:bCs/>
                <w:color w:val="000000"/>
              </w:rPr>
              <w:t>/启</w:t>
            </w:r>
            <w:r>
              <w:rPr>
                <w:rFonts w:cs="华文细黑" w:asciiTheme="minorEastAsia" w:hAnsiTheme="minorEastAsia"/>
                <w:bCs/>
                <w:color w:val="000000"/>
              </w:rPr>
              <w:t>用</w:t>
            </w:r>
            <w:r>
              <w:rPr>
                <w:rFonts w:hint="eastAsia" w:cs="华文细黑" w:asciiTheme="minorEastAsia" w:hAnsiTheme="minorEastAsia"/>
                <w:bCs/>
                <w:color w:val="000000"/>
              </w:rPr>
              <w:t>、</w:t>
            </w:r>
            <w:r>
              <w:rPr>
                <w:rFonts w:cs="华文细黑" w:asciiTheme="minorEastAsia" w:hAnsiTheme="minorEastAsia"/>
                <w:bCs/>
                <w:color w:val="000000"/>
              </w:rPr>
              <w:t>图片上传</w:t>
            </w:r>
            <w:r>
              <w:rPr>
                <w:rFonts w:hint="eastAsia" w:cs="华文细黑" w:asciiTheme="minorEastAsia" w:hAnsiTheme="minorEastAsia"/>
                <w:bCs/>
                <w:color w:val="000000"/>
              </w:rPr>
              <w:t>等操作，保证数据的一致性；支持辣</w:t>
            </w:r>
            <w:r>
              <w:rPr>
                <w:rFonts w:cs="华文细黑" w:asciiTheme="minorEastAsia" w:hAnsiTheme="minorEastAsia"/>
                <w:bCs/>
                <w:color w:val="000000"/>
              </w:rPr>
              <w:t>度、本地特色、膳食结构、</w:t>
            </w:r>
            <w:r>
              <w:rPr>
                <w:rFonts w:hint="eastAsia" w:cs="华文细黑" w:asciiTheme="minorEastAsia" w:hAnsiTheme="minorEastAsia"/>
                <w:bCs/>
                <w:color w:val="000000"/>
              </w:rPr>
              <w:t>菜品标签、过敏风险等维护,便于</w:t>
            </w:r>
            <w:r>
              <w:rPr>
                <w:rFonts w:cs="华文细黑" w:asciiTheme="minorEastAsia" w:hAnsiTheme="minorEastAsia"/>
                <w:bCs/>
                <w:color w:val="000000"/>
              </w:rPr>
              <w:t>进行营养膳食</w:t>
            </w:r>
            <w:r>
              <w:rPr>
                <w:rFonts w:hint="eastAsia" w:cs="华文细黑" w:asciiTheme="minorEastAsia" w:hAnsiTheme="minorEastAsia"/>
                <w:bCs/>
                <w:color w:val="000000"/>
              </w:rPr>
              <w:t>提醒</w:t>
            </w:r>
            <w:r>
              <w:rPr>
                <w:rFonts w:cs="华文细黑" w:asciiTheme="minorEastAsia" w:hAnsiTheme="minorEastAsia"/>
                <w:bCs/>
                <w:color w:val="000000"/>
              </w:rPr>
              <w:t>与分析</w:t>
            </w:r>
            <w:r>
              <w:rPr>
                <w:rFonts w:hint="eastAsia" w:cs="华文细黑" w:asciiTheme="minorEastAsia" w:hAnsiTheme="minorEastAsia"/>
                <w:bCs/>
                <w:color w:val="000000"/>
              </w:rPr>
              <w:t>；支持</w:t>
            </w:r>
            <w:r>
              <w:rPr>
                <w:rFonts w:cs="华文细黑" w:asciiTheme="minorEastAsia" w:hAnsiTheme="minorEastAsia"/>
                <w:bCs/>
                <w:color w:val="000000"/>
              </w:rPr>
              <w:t>菜品导入模板下载，</w:t>
            </w:r>
            <w:r>
              <w:rPr>
                <w:rFonts w:hint="eastAsia" w:cs="华文细黑" w:asciiTheme="minorEastAsia" w:hAnsiTheme="minorEastAsia"/>
                <w:bCs/>
                <w:color w:val="000000"/>
              </w:rPr>
              <w:t>菜品可</w:t>
            </w:r>
            <w:r>
              <w:rPr>
                <w:rFonts w:cs="华文细黑" w:asciiTheme="minorEastAsia" w:hAnsiTheme="minorEastAsia"/>
                <w:bCs/>
                <w:color w:val="000000"/>
              </w:rPr>
              <w:t>实现</w:t>
            </w:r>
            <w:r>
              <w:rPr>
                <w:rFonts w:hint="eastAsia" w:cs="华文细黑" w:asciiTheme="minorEastAsia" w:hAnsiTheme="minorEastAsia"/>
                <w:bCs/>
                <w:color w:val="000000"/>
              </w:rPr>
              <w:t>批量导入、导出；</w:t>
            </w:r>
          </w:p>
          <w:p>
            <w:pPr>
              <w:pStyle w:val="48"/>
              <w:numPr>
                <w:ilvl w:val="0"/>
                <w:numId w:val="4"/>
              </w:numPr>
              <w:ind w:firstLineChars="0"/>
              <w:rPr>
                <w:rFonts w:cs="华文细黑" w:asciiTheme="minorEastAsia" w:hAnsiTheme="minorEastAsia"/>
                <w:bCs/>
                <w:color w:val="000000"/>
              </w:rPr>
            </w:pPr>
            <w:r>
              <w:rPr>
                <w:rFonts w:hint="eastAsia" w:cs="华文细黑" w:asciiTheme="minorEastAsia" w:hAnsiTheme="minorEastAsia"/>
                <w:bCs/>
                <w:color w:val="000000"/>
              </w:rPr>
              <w:t>根据餐厅每日排菜计划和每个菜品的BOM，自动计算物料需求单，物料需求单可自动生成采购订单；</w:t>
            </w:r>
          </w:p>
          <w:p>
            <w:pPr>
              <w:pStyle w:val="48"/>
              <w:numPr>
                <w:ilvl w:val="0"/>
                <w:numId w:val="4"/>
              </w:numPr>
              <w:ind w:firstLineChars="0"/>
              <w:rPr>
                <w:rFonts w:cs="华文细黑" w:asciiTheme="minorEastAsia" w:hAnsiTheme="minorEastAsia"/>
                <w:bCs/>
                <w:color w:val="000000"/>
              </w:rPr>
            </w:pPr>
            <w:r>
              <w:rPr>
                <w:rFonts w:hint="eastAsia" w:cs="华文细黑" w:asciiTheme="minorEastAsia" w:hAnsiTheme="minorEastAsia"/>
                <w:bCs/>
                <w:color w:val="000000"/>
              </w:rPr>
              <w:t>提供物料分类及物料管理，包括所属供应商、物料分类、定价单位、BOM单位、库存单位、包装规格、包装单位，以及单位间的换算关系；物料</w:t>
            </w:r>
            <w:r>
              <w:rPr>
                <w:rFonts w:cs="华文细黑" w:asciiTheme="minorEastAsia" w:hAnsiTheme="minorEastAsia"/>
                <w:bCs/>
                <w:color w:val="000000"/>
              </w:rPr>
              <w:t>分</w:t>
            </w:r>
            <w:r>
              <w:rPr>
                <w:rFonts w:hint="eastAsia" w:cs="华文细黑" w:asciiTheme="minorEastAsia" w:hAnsiTheme="minorEastAsia"/>
                <w:bCs/>
                <w:color w:val="000000"/>
              </w:rPr>
              <w:t>类支持增、删、改、查功能，</w:t>
            </w:r>
            <w:r>
              <w:rPr>
                <w:rFonts w:cs="华文细黑" w:asciiTheme="minorEastAsia" w:hAnsiTheme="minorEastAsia"/>
                <w:bCs/>
                <w:color w:val="000000"/>
              </w:rPr>
              <w:t>物料管理</w:t>
            </w:r>
            <w:r>
              <w:rPr>
                <w:rFonts w:hint="eastAsia" w:cs="华文细黑" w:asciiTheme="minorEastAsia" w:hAnsiTheme="minorEastAsia"/>
                <w:bCs/>
                <w:color w:val="000000"/>
              </w:rPr>
              <w:t>支持</w:t>
            </w:r>
            <w:r>
              <w:rPr>
                <w:rFonts w:cs="华文细黑" w:asciiTheme="minorEastAsia" w:hAnsiTheme="minorEastAsia"/>
                <w:bCs/>
                <w:color w:val="000000"/>
              </w:rPr>
              <w:t>增、改、查、停</w:t>
            </w:r>
            <w:r>
              <w:rPr>
                <w:rFonts w:hint="eastAsia" w:cs="华文细黑" w:asciiTheme="minorEastAsia" w:hAnsiTheme="minorEastAsia"/>
                <w:bCs/>
                <w:color w:val="000000"/>
              </w:rPr>
              <w:t>/启</w:t>
            </w:r>
            <w:r>
              <w:rPr>
                <w:rFonts w:cs="华文细黑" w:asciiTheme="minorEastAsia" w:hAnsiTheme="minorEastAsia"/>
                <w:bCs/>
                <w:color w:val="000000"/>
              </w:rPr>
              <w:t>用功能</w:t>
            </w:r>
          </w:p>
          <w:p>
            <w:pPr>
              <w:spacing w:line="276" w:lineRule="auto"/>
              <w:rPr>
                <w:rFonts w:ascii="宋体" w:hAnsi="宋体" w:cs="宋体"/>
                <w:bCs/>
                <w:color w:val="000000"/>
                <w:szCs w:val="21"/>
              </w:rPr>
            </w:pPr>
            <w:r>
              <w:rPr>
                <w:rFonts w:hint="eastAsia" w:cs="华文细黑" w:asciiTheme="minorEastAsia" w:hAnsiTheme="minorEastAsia"/>
                <w:bCs/>
                <w:color w:val="000000"/>
                <w:szCs w:val="21"/>
              </w:rPr>
              <w:t>▲</w:t>
            </w:r>
            <w:r>
              <w:rPr>
                <w:rFonts w:hint="eastAsia" w:ascii="宋体" w:hAnsi="宋体" w:cs="宋体"/>
                <w:bCs/>
                <w:color w:val="000000"/>
                <w:szCs w:val="21"/>
              </w:rPr>
              <w:t>该管理平台具有软件著作权证书（复印件加盖公章）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cs="宋体"/>
                <w:szCs w:val="21"/>
              </w:rPr>
            </w:pPr>
            <w:r>
              <w:rPr>
                <w:rFonts w:hint="eastAsia" w:ascii="宋体" w:hAnsi="宋体" w:cs="宋体"/>
                <w:szCs w:val="21"/>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前后台管理软件</w:t>
            </w:r>
          </w:p>
        </w:tc>
      </w:tr>
      <w:tr>
        <w:tblPrEx>
          <w:tblCellMar>
            <w:top w:w="15" w:type="dxa"/>
            <w:left w:w="15" w:type="dxa"/>
            <w:bottom w:w="15" w:type="dxa"/>
            <w:right w:w="15" w:type="dxa"/>
          </w:tblCellMar>
        </w:tblPrEx>
        <w:trPr>
          <w:trHeight w:val="33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2</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智能</w:t>
            </w:r>
          </w:p>
          <w:p>
            <w:pPr>
              <w:spacing w:line="276" w:lineRule="auto"/>
              <w:jc w:val="center"/>
              <w:rPr>
                <w:rFonts w:ascii="宋体" w:hAnsi="宋体" w:cs="宋体"/>
                <w:color w:val="000000"/>
                <w:kern w:val="0"/>
                <w:szCs w:val="21"/>
              </w:rPr>
            </w:pPr>
            <w:r>
              <w:rPr>
                <w:rFonts w:hint="eastAsia" w:ascii="宋体" w:hAnsi="宋体" w:cs="宋体"/>
                <w:szCs w:val="21"/>
              </w:rPr>
              <w:t>结算台（双屏型）</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5"/>
              </w:numPr>
              <w:ind w:firstLineChars="0"/>
              <w:rPr>
                <w:rFonts w:ascii="宋体" w:hAnsi="宋体" w:cs="宋体"/>
                <w:szCs w:val="21"/>
              </w:rPr>
            </w:pPr>
            <w:r>
              <w:rPr>
                <w:rFonts w:hint="eastAsia" w:ascii="宋体" w:hAnsi="宋体" w:cs="宋体"/>
                <w:szCs w:val="21"/>
              </w:rPr>
              <w:t>含等候区和结算区，可对进入结算台“结算区”的智能餐盘进行快速、批量识别，就餐者自助完成支付结算；</w:t>
            </w:r>
          </w:p>
          <w:p>
            <w:pPr>
              <w:pStyle w:val="48"/>
              <w:numPr>
                <w:ilvl w:val="0"/>
                <w:numId w:val="5"/>
              </w:numPr>
              <w:ind w:firstLineChars="0"/>
              <w:rPr>
                <w:rFonts w:ascii="宋体" w:hAnsi="宋体" w:cs="宋体"/>
                <w:szCs w:val="21"/>
              </w:rPr>
            </w:pPr>
            <w:r>
              <w:rPr>
                <w:rFonts w:hint="eastAsia" w:ascii="宋体" w:hAnsi="宋体" w:cs="宋体"/>
                <w:szCs w:val="21"/>
              </w:rPr>
              <w:t>内置结算软件，具有收银、餐盘管理和营业统计的功能；</w:t>
            </w:r>
          </w:p>
          <w:p>
            <w:pPr>
              <w:pStyle w:val="48"/>
              <w:numPr>
                <w:ilvl w:val="0"/>
                <w:numId w:val="5"/>
              </w:numPr>
              <w:ind w:firstLineChars="0"/>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szCs w:val="21"/>
              </w:rPr>
              <w:t>CPU主频不低于1.9GHz</w:t>
            </w:r>
          </w:p>
          <w:p>
            <w:pPr>
              <w:pStyle w:val="48"/>
              <w:numPr>
                <w:ilvl w:val="0"/>
                <w:numId w:val="5"/>
              </w:numPr>
              <w:ind w:firstLineChars="0"/>
              <w:rPr>
                <w:rFonts w:ascii="宋体" w:hAnsi="宋体" w:cs="宋体"/>
                <w:color w:val="191F25"/>
                <w:szCs w:val="21"/>
                <w:shd w:val="clear" w:color="auto" w:fill="FFFFFF"/>
              </w:rPr>
            </w:pPr>
            <w:r>
              <w:rPr>
                <w:rFonts w:hint="eastAsia" w:cs="华文细黑" w:asciiTheme="minorEastAsia" w:hAnsiTheme="minorEastAsia"/>
                <w:bCs/>
                <w:color w:val="000000"/>
                <w:szCs w:val="21"/>
              </w:rPr>
              <w:t>▲</w:t>
            </w:r>
            <w:r>
              <w:rPr>
                <w:rFonts w:hint="eastAsia" w:ascii="宋体" w:hAnsi="宋体" w:cs="宋体"/>
                <w:color w:val="191F25"/>
                <w:szCs w:val="21"/>
                <w:shd w:val="clear" w:color="auto" w:fill="FFFFFF"/>
              </w:rPr>
              <w:t>客显屏不低于12.1寸且嵌入在台面内；</w:t>
            </w:r>
            <w:r>
              <w:rPr>
                <w:rFonts w:cs="华文细黑" w:asciiTheme="minorEastAsia" w:hAnsiTheme="minorEastAsia"/>
                <w:bCs/>
                <w:color w:val="000000"/>
                <w:szCs w:val="21"/>
              </w:rPr>
              <w:t xml:space="preserve"> </w:t>
            </w:r>
          </w:p>
          <w:p>
            <w:pPr>
              <w:pStyle w:val="48"/>
              <w:numPr>
                <w:ilvl w:val="0"/>
                <w:numId w:val="5"/>
              </w:numPr>
              <w:ind w:firstLineChars="0"/>
              <w:rPr>
                <w:rFonts w:ascii="宋体" w:hAnsi="宋体" w:cs="宋体"/>
                <w:color w:val="191F25"/>
                <w:szCs w:val="21"/>
                <w:shd w:val="clear" w:color="auto" w:fill="FFFFFF"/>
              </w:rPr>
            </w:pPr>
            <w:r>
              <w:rPr>
                <w:rFonts w:hint="eastAsia" w:ascii="宋体" w:hAnsi="宋体" w:cs="宋体"/>
                <w:bCs/>
                <w:color w:val="191F25"/>
                <w:szCs w:val="21"/>
                <w:shd w:val="clear" w:color="auto" w:fill="FFFFFF"/>
              </w:rPr>
              <w:t>▲</w:t>
            </w:r>
            <w:r>
              <w:rPr>
                <w:rFonts w:hint="eastAsia" w:ascii="宋体" w:hAnsi="宋体" w:cs="宋体"/>
                <w:color w:val="191F25"/>
                <w:szCs w:val="21"/>
                <w:shd w:val="clear" w:color="auto" w:fill="FFFFFF"/>
              </w:rPr>
              <w:t>客显屏亮度不低于350cd/㎡，分辨率1024*76</w:t>
            </w:r>
            <w:r>
              <w:rPr>
                <w:rFonts w:hint="eastAsia" w:cs="华文细黑" w:asciiTheme="minorEastAsia" w:hAnsiTheme="minorEastAsia"/>
                <w:bCs/>
                <w:color w:val="000000"/>
                <w:szCs w:val="21"/>
                <w:shd w:val="clear" w:color="auto" w:fill="FFFFFF"/>
              </w:rPr>
              <w:t>8</w:t>
            </w:r>
            <w:r>
              <w:rPr>
                <w:rFonts w:hint="eastAsia" w:ascii="宋体" w:hAnsi="宋体" w:cs="宋体"/>
                <w:color w:val="191F25"/>
                <w:szCs w:val="21"/>
                <w:shd w:val="clear" w:color="auto" w:fill="FFFFFF"/>
              </w:rPr>
              <w:t>；</w:t>
            </w:r>
            <w:r>
              <w:rPr>
                <w:rFonts w:cs="华文细黑" w:asciiTheme="minorEastAsia" w:hAnsiTheme="minorEastAsia"/>
                <w:bCs/>
                <w:color w:val="000000"/>
                <w:szCs w:val="21"/>
              </w:rPr>
              <w:t xml:space="preserve"> </w:t>
            </w:r>
          </w:p>
          <w:p>
            <w:pPr>
              <w:pStyle w:val="48"/>
              <w:numPr>
                <w:ilvl w:val="0"/>
                <w:numId w:val="5"/>
              </w:numPr>
              <w:ind w:firstLineChars="0"/>
              <w:rPr>
                <w:rFonts w:hint="eastAsia" w:ascii="宋体" w:hAnsi="宋体" w:cs="宋体"/>
                <w:szCs w:val="21"/>
              </w:rPr>
            </w:pPr>
            <w:r>
              <w:rPr>
                <w:rFonts w:hint="eastAsia" w:ascii="宋体" w:hAnsi="宋体" w:cs="宋体"/>
                <w:bCs/>
                <w:color w:val="191F25"/>
                <w:szCs w:val="21"/>
                <w:shd w:val="clear" w:color="auto" w:fill="FFFFFF"/>
              </w:rPr>
              <w:t>▲</w:t>
            </w:r>
            <w:r>
              <w:rPr>
                <w:rFonts w:hint="eastAsia" w:ascii="宋体" w:hAnsi="宋体" w:cs="宋体"/>
                <w:color w:val="191F25"/>
                <w:szCs w:val="21"/>
                <w:shd w:val="clear" w:color="auto" w:fill="FFFFFF"/>
              </w:rPr>
              <w:t>主屏为不低于12寸电容屏；</w:t>
            </w:r>
          </w:p>
          <w:p>
            <w:pPr>
              <w:pStyle w:val="48"/>
              <w:numPr>
                <w:ilvl w:val="0"/>
                <w:numId w:val="5"/>
              </w:numPr>
              <w:ind w:firstLineChars="0"/>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color w:val="191F25"/>
                <w:szCs w:val="21"/>
                <w:shd w:val="clear" w:color="auto" w:fill="FFFFFF"/>
              </w:rPr>
              <w:t>主屏亮度不低于300cd/㎡，分辨率1024*768；</w:t>
            </w:r>
            <w:r>
              <w:rPr>
                <w:rFonts w:ascii="宋体" w:hAnsi="宋体" w:cs="宋体"/>
                <w:szCs w:val="21"/>
              </w:rPr>
              <w:t xml:space="preserve"> </w:t>
            </w:r>
          </w:p>
          <w:p>
            <w:pPr>
              <w:pStyle w:val="48"/>
              <w:numPr>
                <w:ilvl w:val="0"/>
                <w:numId w:val="5"/>
              </w:numPr>
              <w:ind w:firstLineChars="0"/>
              <w:rPr>
                <w:rFonts w:hint="eastAsia" w:ascii="宋体" w:hAnsi="宋体" w:cs="宋体"/>
                <w:szCs w:val="21"/>
              </w:rPr>
            </w:pPr>
            <w:r>
              <w:rPr>
                <w:rFonts w:hint="eastAsia" w:cs="华文细黑" w:asciiTheme="minorEastAsia" w:hAnsiTheme="minorEastAsia"/>
                <w:bCs/>
                <w:color w:val="000000"/>
                <w:szCs w:val="21"/>
              </w:rPr>
              <w:t>▲</w:t>
            </w:r>
            <w:r>
              <w:rPr>
                <w:rFonts w:hint="eastAsia" w:ascii="宋体" w:hAnsi="宋体" w:cs="宋体"/>
                <w:szCs w:val="21"/>
              </w:rPr>
              <w:t>硬盘存储为不低64G，SSD固态硬盘；</w:t>
            </w:r>
          </w:p>
          <w:p>
            <w:pPr>
              <w:pStyle w:val="48"/>
              <w:numPr>
                <w:ilvl w:val="0"/>
                <w:numId w:val="5"/>
              </w:numPr>
              <w:ind w:firstLineChars="0"/>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szCs w:val="21"/>
              </w:rPr>
              <w:t>内存存储不低于2G；</w:t>
            </w:r>
            <w:r>
              <w:rPr>
                <w:rFonts w:ascii="宋体" w:hAnsi="宋体" w:cs="宋体"/>
                <w:szCs w:val="21"/>
              </w:rPr>
              <w:t xml:space="preserve"> </w:t>
            </w:r>
          </w:p>
          <w:p>
            <w:pPr>
              <w:pStyle w:val="48"/>
              <w:numPr>
                <w:ilvl w:val="0"/>
                <w:numId w:val="5"/>
              </w:numPr>
              <w:ind w:firstLineChars="0"/>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szCs w:val="21"/>
              </w:rPr>
              <w:t>为保证读写稳定，结算区须采用双天线设计结算识别距离＜15cm；</w:t>
            </w:r>
            <w:r>
              <w:rPr>
                <w:rFonts w:ascii="宋体" w:hAnsi="宋体" w:cs="宋体"/>
                <w:szCs w:val="21"/>
              </w:rPr>
              <w:t xml:space="preserve"> </w:t>
            </w:r>
          </w:p>
          <w:p>
            <w:pPr>
              <w:pStyle w:val="48"/>
              <w:numPr>
                <w:ilvl w:val="0"/>
                <w:numId w:val="5"/>
              </w:numPr>
              <w:ind w:firstLineChars="0"/>
              <w:rPr>
                <w:rFonts w:ascii="宋体" w:hAnsi="宋体" w:cs="宋体"/>
                <w:szCs w:val="21"/>
              </w:rPr>
            </w:pPr>
            <w:r>
              <w:rPr>
                <w:rFonts w:hint="eastAsia" w:ascii="宋体" w:hAnsi="宋体" w:cs="宋体"/>
                <w:szCs w:val="21"/>
              </w:rPr>
              <w:t>支持用卡、二维码、人脸的方式进行支付；</w:t>
            </w:r>
          </w:p>
          <w:p>
            <w:pPr>
              <w:pStyle w:val="48"/>
              <w:numPr>
                <w:ilvl w:val="0"/>
                <w:numId w:val="5"/>
              </w:numPr>
              <w:ind w:firstLineChars="0"/>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szCs w:val="21"/>
              </w:rPr>
              <w:t>语音播报、显示界面支持中英双语；</w:t>
            </w:r>
            <w:r>
              <w:rPr>
                <w:rFonts w:hint="eastAsia" w:ascii="宋体" w:hAnsi="宋体" w:cs="宋体"/>
                <w:color w:val="191F25"/>
                <w:szCs w:val="21"/>
                <w:shd w:val="clear" w:color="auto" w:fill="FFFFFF"/>
              </w:rPr>
              <w:t>规格尺寸：长*宽：1500mm*700mm，高度可调节；</w:t>
            </w:r>
          </w:p>
          <w:p>
            <w:pPr>
              <w:spacing w:line="276" w:lineRule="auto"/>
              <w:rPr>
                <w:rFonts w:ascii="宋体" w:hAnsi="宋体" w:cs="宋体"/>
                <w:szCs w:val="21"/>
              </w:rPr>
            </w:pPr>
            <w:r>
              <w:rPr>
                <w:rFonts w:hint="eastAsia" w:cs="华文细黑" w:asciiTheme="minorEastAsia" w:hAnsiTheme="minorEastAsia"/>
                <w:bCs/>
                <w:color w:val="000000"/>
                <w:szCs w:val="21"/>
              </w:rPr>
              <w:t>▲</w:t>
            </w:r>
            <w:r>
              <w:rPr>
                <w:rFonts w:hint="eastAsia" w:ascii="宋体" w:hAnsi="宋体" w:cs="宋体"/>
                <w:color w:val="191F25"/>
                <w:szCs w:val="21"/>
                <w:shd w:val="clear" w:color="auto" w:fill="FFFFFF"/>
              </w:rPr>
              <w:t>提供结算软件的著作权证书（复印件加盖公章）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台</w:t>
            </w:r>
          </w:p>
        </w:tc>
        <w:tc>
          <w:tcPr>
            <w:tcW w:w="709" w:type="dxa"/>
            <w:tcBorders>
              <w:top w:val="single" w:color="000000" w:sz="4" w:space="0"/>
              <w:left w:val="single" w:color="000000" w:sz="4" w:space="0"/>
              <w:bottom w:val="single" w:color="000000" w:sz="4" w:space="0"/>
              <w:right w:val="single" w:color="auto" w:sz="4" w:space="0"/>
            </w:tcBorders>
            <w:vAlign w:val="center"/>
          </w:tcPr>
          <w:p>
            <w:pPr>
              <w:spacing w:line="276" w:lineRule="auto"/>
              <w:ind w:firstLine="210" w:firstLineChars="100"/>
              <w:rPr>
                <w:rFonts w:ascii="宋体" w:hAnsi="宋体" w:cs="宋体"/>
                <w:szCs w:val="21"/>
              </w:rPr>
            </w:pPr>
            <w:r>
              <w:rPr>
                <w:rFonts w:hint="eastAsia" w:ascii="宋体" w:hAnsi="宋体" w:cs="宋体"/>
                <w:szCs w:val="21"/>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自助结算台</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3</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智能餐具</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6"/>
              </w:numPr>
              <w:ind w:firstLineChars="0"/>
              <w:rPr>
                <w:rFonts w:ascii="宋体" w:hAnsi="宋体" w:cs="宋体"/>
                <w:szCs w:val="21"/>
              </w:rPr>
            </w:pPr>
            <w:r>
              <w:rPr>
                <w:rFonts w:hint="eastAsia" w:ascii="宋体" w:hAnsi="宋体" w:cs="宋体"/>
                <w:szCs w:val="21"/>
              </w:rPr>
              <w:t>成份：三聚氰胺甲醛树脂，纤维素，芯片植入。</w:t>
            </w:r>
          </w:p>
          <w:p>
            <w:pPr>
              <w:pStyle w:val="48"/>
              <w:numPr>
                <w:ilvl w:val="0"/>
                <w:numId w:val="6"/>
              </w:numPr>
              <w:ind w:firstLineChars="0"/>
              <w:rPr>
                <w:rFonts w:ascii="宋体" w:hAnsi="宋体" w:cs="宋体"/>
                <w:szCs w:val="21"/>
              </w:rPr>
            </w:pPr>
            <w:r>
              <w:rPr>
                <w:rFonts w:hint="eastAsia" w:ascii="宋体" w:hAnsi="宋体" w:cs="宋体"/>
                <w:szCs w:val="21"/>
              </w:rPr>
              <w:t>能被射频装置识别，并能被写入或读取相关信息；</w:t>
            </w:r>
          </w:p>
          <w:p>
            <w:pPr>
              <w:pStyle w:val="48"/>
              <w:numPr>
                <w:ilvl w:val="0"/>
                <w:numId w:val="6"/>
              </w:numPr>
              <w:ind w:firstLineChars="0"/>
              <w:rPr>
                <w:rFonts w:ascii="宋体" w:hAnsi="宋体" w:cs="宋体"/>
                <w:szCs w:val="21"/>
              </w:rPr>
            </w:pPr>
            <w:r>
              <w:rPr>
                <w:rFonts w:hint="eastAsia" w:ascii="宋体" w:hAnsi="宋体" w:cs="宋体"/>
                <w:szCs w:val="21"/>
              </w:rPr>
              <w:t>▲工作频率：13.56MHz，频率偏离不超过0.5MHz；</w:t>
            </w:r>
            <w:r>
              <w:rPr>
                <w:rFonts w:ascii="宋体" w:hAnsi="宋体" w:cs="宋体"/>
                <w:szCs w:val="21"/>
              </w:rPr>
              <w:t xml:space="preserve"> </w:t>
            </w:r>
          </w:p>
          <w:p>
            <w:pPr>
              <w:pStyle w:val="48"/>
              <w:numPr>
                <w:ilvl w:val="0"/>
                <w:numId w:val="6"/>
              </w:numPr>
              <w:ind w:firstLineChars="0"/>
              <w:rPr>
                <w:rFonts w:ascii="宋体" w:hAnsi="宋体" w:cs="宋体"/>
                <w:szCs w:val="21"/>
              </w:rPr>
            </w:pPr>
            <w:r>
              <w:rPr>
                <w:rFonts w:hint="eastAsia" w:ascii="宋体" w:hAnsi="宋体" w:cs="宋体"/>
                <w:szCs w:val="21"/>
              </w:rPr>
              <w:t>▲读写次数≥100万次；</w:t>
            </w:r>
            <w:r>
              <w:rPr>
                <w:rFonts w:ascii="宋体" w:hAnsi="宋体" w:cs="宋体"/>
                <w:szCs w:val="21"/>
              </w:rPr>
              <w:t xml:space="preserve"> </w:t>
            </w:r>
          </w:p>
          <w:p>
            <w:pPr>
              <w:pStyle w:val="48"/>
              <w:numPr>
                <w:ilvl w:val="0"/>
                <w:numId w:val="6"/>
              </w:numPr>
              <w:ind w:firstLineChars="0"/>
              <w:rPr>
                <w:rFonts w:ascii="宋体" w:hAnsi="宋体" w:cs="宋体"/>
                <w:szCs w:val="21"/>
              </w:rPr>
            </w:pPr>
            <w:r>
              <w:rPr>
                <w:rFonts w:hint="eastAsia" w:ascii="宋体" w:hAnsi="宋体" w:cs="宋体"/>
                <w:szCs w:val="21"/>
              </w:rPr>
              <w:t>▲1m高度正常跌落20次，不破损并能正常工作；</w:t>
            </w:r>
            <w:r>
              <w:rPr>
                <w:rFonts w:ascii="宋体" w:hAnsi="宋体" w:cs="宋体"/>
                <w:szCs w:val="21"/>
              </w:rPr>
              <w:t xml:space="preserve"> </w:t>
            </w:r>
          </w:p>
          <w:p>
            <w:pPr>
              <w:pStyle w:val="48"/>
              <w:numPr>
                <w:ilvl w:val="0"/>
                <w:numId w:val="6"/>
              </w:numPr>
              <w:ind w:firstLineChars="0"/>
              <w:rPr>
                <w:rFonts w:ascii="宋体" w:hAnsi="宋体" w:cs="宋体"/>
                <w:szCs w:val="21"/>
              </w:rPr>
            </w:pPr>
            <w:r>
              <w:rPr>
                <w:rFonts w:hint="eastAsia" w:ascii="宋体" w:hAnsi="宋体" w:cs="宋体"/>
                <w:szCs w:val="21"/>
              </w:rPr>
              <w:t>▲在不低于85℃水中浸泡2小时，能正常工作；</w:t>
            </w:r>
            <w:r>
              <w:rPr>
                <w:rFonts w:ascii="宋体" w:hAnsi="宋体" w:cs="宋体"/>
                <w:szCs w:val="21"/>
              </w:rPr>
              <w:t xml:space="preserve"> </w:t>
            </w:r>
          </w:p>
          <w:p>
            <w:pPr>
              <w:pStyle w:val="48"/>
              <w:numPr>
                <w:ilvl w:val="0"/>
                <w:numId w:val="6"/>
              </w:numPr>
              <w:ind w:firstLineChars="0"/>
              <w:rPr>
                <w:rFonts w:ascii="宋体" w:hAnsi="宋体" w:cs="宋体"/>
                <w:szCs w:val="21"/>
              </w:rPr>
            </w:pPr>
            <w:r>
              <w:rPr>
                <w:rFonts w:hint="eastAsia" w:ascii="宋体" w:hAnsi="宋体" w:cs="宋体"/>
                <w:szCs w:val="21"/>
              </w:rPr>
              <w:t>▲耐温-30℃-120℃；</w:t>
            </w:r>
            <w:r>
              <w:rPr>
                <w:rFonts w:ascii="宋体" w:hAnsi="宋体" w:cs="宋体"/>
                <w:szCs w:val="21"/>
              </w:rPr>
              <w:t xml:space="preserve"> </w:t>
            </w:r>
          </w:p>
          <w:p>
            <w:pPr>
              <w:pStyle w:val="48"/>
              <w:numPr>
                <w:ilvl w:val="0"/>
                <w:numId w:val="6"/>
              </w:numPr>
              <w:ind w:firstLineChars="0"/>
              <w:rPr>
                <w:rFonts w:ascii="宋体" w:hAnsi="宋体" w:cs="宋体"/>
                <w:szCs w:val="21"/>
              </w:rPr>
            </w:pPr>
            <w:r>
              <w:rPr>
                <w:rFonts w:hint="eastAsia" w:ascii="宋体" w:hAnsi="宋体" w:cs="宋体"/>
                <w:kern w:val="0"/>
                <w:szCs w:val="21"/>
              </w:rPr>
              <w:t>▲</w:t>
            </w:r>
            <w:r>
              <w:rPr>
                <w:rFonts w:hint="eastAsia" w:ascii="宋体" w:hAnsi="宋体" w:cs="宋体"/>
                <w:b/>
                <w:kern w:val="0"/>
                <w:szCs w:val="21"/>
              </w:rPr>
              <w:t>投标人具有</w:t>
            </w:r>
            <w:r>
              <w:rPr>
                <w:rFonts w:hint="eastAsia" w:ascii="宋体" w:hAnsi="宋体" w:cs="宋体"/>
                <w:kern w:val="0"/>
                <w:szCs w:val="21"/>
              </w:rPr>
              <w:t>符合GB 4806.7-2016《食品安全国家标准食品接触用塑料材料及制品》和QB/T 1999-1994（2009）《密胺塑料餐具》的检测报告。（复印件加盖公章）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个</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1600</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智能餐具</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4</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人脸应用终端</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7"/>
              </w:numPr>
              <w:ind w:firstLineChars="0"/>
              <w:rPr>
                <w:rFonts w:ascii="宋体" w:hAnsi="宋体" w:cs="宋体"/>
                <w:szCs w:val="21"/>
              </w:rPr>
            </w:pPr>
            <w:r>
              <w:rPr>
                <w:rFonts w:hint="eastAsia" w:ascii="宋体" w:hAnsi="宋体" w:cs="宋体"/>
                <w:szCs w:val="21"/>
              </w:rPr>
              <w:t>用于人脸注册或支付应用；</w:t>
            </w:r>
          </w:p>
          <w:p>
            <w:pPr>
              <w:pStyle w:val="48"/>
              <w:numPr>
                <w:ilvl w:val="0"/>
                <w:numId w:val="7"/>
              </w:numPr>
              <w:ind w:firstLineChars="0"/>
              <w:rPr>
                <w:rFonts w:ascii="宋体" w:hAnsi="宋体" w:cs="宋体"/>
                <w:szCs w:val="21"/>
              </w:rPr>
            </w:pPr>
            <w:r>
              <w:rPr>
                <w:rFonts w:hint="eastAsia" w:ascii="宋体" w:hAnsi="宋体" w:cs="宋体"/>
                <w:szCs w:val="21"/>
              </w:rPr>
              <w:t>7寸液晶屏；</w:t>
            </w:r>
          </w:p>
          <w:p>
            <w:pPr>
              <w:pStyle w:val="48"/>
              <w:numPr>
                <w:ilvl w:val="0"/>
                <w:numId w:val="7"/>
              </w:numPr>
              <w:ind w:firstLineChars="0"/>
              <w:rPr>
                <w:rFonts w:ascii="宋体" w:hAnsi="宋体" w:cs="宋体"/>
                <w:szCs w:val="21"/>
              </w:rPr>
            </w:pPr>
            <w:r>
              <w:rPr>
                <w:rFonts w:hint="eastAsia" w:ascii="宋体" w:hAnsi="宋体" w:cs="宋体"/>
                <w:szCs w:val="21"/>
              </w:rPr>
              <w:t>可见光摄像头，200万像素，宽动态＞100DB；</w:t>
            </w:r>
          </w:p>
          <w:p>
            <w:pPr>
              <w:pStyle w:val="48"/>
              <w:numPr>
                <w:ilvl w:val="0"/>
                <w:numId w:val="7"/>
              </w:numPr>
              <w:ind w:firstLineChars="0"/>
              <w:rPr>
                <w:rFonts w:ascii="宋体" w:hAnsi="宋体" w:cs="宋体"/>
                <w:szCs w:val="21"/>
              </w:rPr>
            </w:pPr>
            <w:r>
              <w:rPr>
                <w:rFonts w:hint="eastAsia" w:ascii="宋体" w:hAnsi="宋体" w:cs="宋体"/>
                <w:szCs w:val="21"/>
              </w:rPr>
              <w:t>近红外摄像头，200万像素；</w:t>
            </w:r>
          </w:p>
          <w:p>
            <w:pPr>
              <w:pStyle w:val="48"/>
              <w:numPr>
                <w:ilvl w:val="0"/>
                <w:numId w:val="7"/>
              </w:numPr>
              <w:ind w:firstLineChars="0"/>
              <w:rPr>
                <w:rFonts w:ascii="宋体" w:hAnsi="宋体" w:cs="宋体"/>
                <w:szCs w:val="21"/>
              </w:rPr>
            </w:pPr>
            <w:r>
              <w:rPr>
                <w:rFonts w:hint="eastAsia" w:ascii="宋体" w:hAnsi="宋体" w:cs="宋体"/>
                <w:szCs w:val="21"/>
              </w:rPr>
              <w:t>内置存储器：16GB；</w:t>
            </w:r>
          </w:p>
          <w:p>
            <w:pPr>
              <w:pStyle w:val="48"/>
              <w:numPr>
                <w:ilvl w:val="0"/>
                <w:numId w:val="7"/>
              </w:numPr>
              <w:ind w:firstLineChars="0"/>
              <w:rPr>
                <w:rFonts w:ascii="宋体" w:hAnsi="宋体" w:cs="宋体"/>
                <w:szCs w:val="21"/>
              </w:rPr>
            </w:pPr>
            <w:r>
              <w:rPr>
                <w:rFonts w:hint="eastAsia" w:ascii="宋体" w:hAnsi="宋体" w:cs="宋体"/>
                <w:szCs w:val="21"/>
              </w:rPr>
              <w:t>支持IC卡人脸绑定；</w:t>
            </w:r>
          </w:p>
          <w:p>
            <w:pPr>
              <w:pStyle w:val="48"/>
              <w:numPr>
                <w:ilvl w:val="0"/>
                <w:numId w:val="7"/>
              </w:numPr>
              <w:ind w:firstLineChars="0"/>
              <w:rPr>
                <w:rFonts w:ascii="宋体" w:hAnsi="宋体" w:cs="宋体"/>
                <w:szCs w:val="21"/>
              </w:rPr>
            </w:pPr>
            <w:r>
              <w:rPr>
                <w:rFonts w:hint="eastAsia" w:ascii="宋体" w:hAnsi="宋体" w:cs="宋体"/>
                <w:szCs w:val="21"/>
              </w:rPr>
              <w:t>▲人脸识别成功率＞99%；）</w:t>
            </w:r>
          </w:p>
          <w:p>
            <w:pPr>
              <w:pStyle w:val="48"/>
              <w:numPr>
                <w:ilvl w:val="0"/>
                <w:numId w:val="7"/>
              </w:numPr>
              <w:ind w:firstLineChars="0"/>
              <w:rPr>
                <w:rFonts w:ascii="宋体" w:hAnsi="宋体" w:cs="宋体"/>
                <w:szCs w:val="21"/>
              </w:rPr>
            </w:pPr>
            <w:r>
              <w:rPr>
                <w:rFonts w:hint="eastAsia" w:ascii="宋体" w:hAnsi="宋体" w:cs="宋体"/>
                <w:szCs w:val="21"/>
              </w:rPr>
              <w:t>双光谱多姿态采集；</w:t>
            </w:r>
          </w:p>
          <w:p>
            <w:pPr>
              <w:pStyle w:val="48"/>
              <w:numPr>
                <w:ilvl w:val="0"/>
                <w:numId w:val="7"/>
              </w:numPr>
              <w:ind w:firstLineChars="0"/>
              <w:rPr>
                <w:rFonts w:ascii="宋体" w:hAnsi="宋体" w:cs="宋体"/>
                <w:szCs w:val="21"/>
              </w:rPr>
            </w:pPr>
            <w:r>
              <w:rPr>
                <w:rFonts w:hint="eastAsia" w:ascii="宋体" w:hAnsi="宋体" w:cs="宋体"/>
                <w:szCs w:val="21"/>
              </w:rPr>
              <w:t>USB红外双目摄像头，活体检测，照片无法过关；</w:t>
            </w:r>
          </w:p>
          <w:p>
            <w:pPr>
              <w:pStyle w:val="48"/>
              <w:numPr>
                <w:ilvl w:val="0"/>
                <w:numId w:val="7"/>
              </w:numPr>
              <w:ind w:firstLineChars="0"/>
              <w:rPr>
                <w:rFonts w:ascii="宋体" w:hAnsi="宋体" w:cs="宋体"/>
                <w:szCs w:val="21"/>
              </w:rPr>
            </w:pPr>
            <w:r>
              <w:rPr>
                <w:rFonts w:hint="eastAsia" w:ascii="宋体" w:hAnsi="宋体" w:cs="宋体"/>
                <w:szCs w:val="21"/>
              </w:rPr>
              <w:t>支持人脸姿态及质量判定；</w:t>
            </w:r>
          </w:p>
          <w:p>
            <w:pPr>
              <w:pStyle w:val="48"/>
              <w:numPr>
                <w:ilvl w:val="0"/>
                <w:numId w:val="7"/>
              </w:numPr>
              <w:ind w:firstLineChars="0"/>
              <w:rPr>
                <w:rFonts w:ascii="宋体" w:hAnsi="宋体" w:cs="宋体"/>
                <w:szCs w:val="21"/>
              </w:rPr>
            </w:pPr>
            <w:r>
              <w:rPr>
                <w:rFonts w:hint="eastAsia" w:ascii="宋体" w:hAnsi="宋体" w:cs="宋体"/>
                <w:szCs w:val="21"/>
              </w:rPr>
              <w:t>支持采集或支付对象身高差达30cm；</w:t>
            </w:r>
          </w:p>
          <w:p>
            <w:pPr>
              <w:pStyle w:val="48"/>
              <w:numPr>
                <w:ilvl w:val="0"/>
                <w:numId w:val="7"/>
              </w:numPr>
              <w:ind w:firstLineChars="0"/>
              <w:rPr>
                <w:rFonts w:ascii="宋体" w:hAnsi="宋体" w:cs="宋体"/>
                <w:szCs w:val="21"/>
              </w:rPr>
            </w:pPr>
            <w:r>
              <w:rPr>
                <w:rFonts w:hint="eastAsia" w:ascii="宋体" w:hAnsi="宋体" w:cs="宋体"/>
                <w:szCs w:val="21"/>
              </w:rPr>
              <w:t>▲识别高度可自由调节；</w:t>
            </w:r>
          </w:p>
          <w:p>
            <w:pPr>
              <w:pStyle w:val="48"/>
              <w:numPr>
                <w:ilvl w:val="0"/>
                <w:numId w:val="7"/>
              </w:numPr>
              <w:ind w:firstLineChars="0"/>
              <w:rPr>
                <w:rFonts w:ascii="宋体" w:hAnsi="宋体" w:cs="宋体"/>
                <w:szCs w:val="21"/>
              </w:rPr>
            </w:pPr>
            <w:r>
              <w:rPr>
                <w:rFonts w:hint="eastAsia" w:ascii="宋体" w:hAnsi="宋体" w:cs="宋体"/>
                <w:szCs w:val="21"/>
              </w:rPr>
              <w:t>▲提供人脸采集系统软件著作权证书（复印件加盖公章）</w:t>
            </w:r>
          </w:p>
          <w:p>
            <w:pPr>
              <w:spacing w:line="276" w:lineRule="auto"/>
              <w:rPr>
                <w:rFonts w:ascii="宋体" w:hAnsi="宋体" w:cs="宋体"/>
                <w:szCs w:val="21"/>
              </w:rPr>
            </w:pPr>
            <w:r>
              <w:rPr>
                <w:rFonts w:hint="eastAsia" w:ascii="宋体" w:hAnsi="宋体" w:cs="宋体"/>
                <w:szCs w:val="21"/>
              </w:rPr>
              <w:t>▲提供人脸支付系统软件著作权证书（复印件加盖公章）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人脸采集、支付终端</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5</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人脸算法系统</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8"/>
              </w:numPr>
              <w:ind w:firstLineChars="0"/>
              <w:rPr>
                <w:rFonts w:ascii="宋体" w:hAnsi="宋体" w:cs="宋体"/>
                <w:szCs w:val="21"/>
              </w:rPr>
            </w:pPr>
            <w:r>
              <w:rPr>
                <w:rFonts w:hint="eastAsia" w:ascii="宋体" w:hAnsi="宋体" w:cs="宋体"/>
                <w:szCs w:val="21"/>
              </w:rPr>
              <w:t>包含算法系统和承载服务器；</w:t>
            </w:r>
          </w:p>
          <w:p>
            <w:pPr>
              <w:pStyle w:val="48"/>
              <w:numPr>
                <w:ilvl w:val="0"/>
                <w:numId w:val="8"/>
              </w:numPr>
              <w:ind w:firstLineChars="0"/>
              <w:rPr>
                <w:rFonts w:ascii="宋体" w:hAnsi="宋体" w:cs="宋体"/>
                <w:szCs w:val="21"/>
              </w:rPr>
            </w:pPr>
            <w:r>
              <w:rPr>
                <w:rFonts w:hint="eastAsia" w:ascii="宋体" w:hAnsi="宋体" w:cs="宋体"/>
                <w:szCs w:val="21"/>
              </w:rPr>
              <w:t>支持多达100台终端；</w:t>
            </w:r>
          </w:p>
          <w:p>
            <w:pPr>
              <w:pStyle w:val="48"/>
              <w:numPr>
                <w:ilvl w:val="0"/>
                <w:numId w:val="8"/>
              </w:numPr>
              <w:ind w:firstLineChars="0"/>
              <w:rPr>
                <w:rFonts w:ascii="宋体" w:hAnsi="宋体" w:cs="宋体"/>
                <w:szCs w:val="21"/>
              </w:rPr>
            </w:pPr>
            <w:r>
              <w:rPr>
                <w:rFonts w:hint="eastAsia" w:ascii="宋体" w:hAnsi="宋体" w:cs="宋体"/>
                <w:szCs w:val="21"/>
              </w:rPr>
              <w:t>最高可支撑2万用户量；</w:t>
            </w:r>
          </w:p>
          <w:p>
            <w:pPr>
              <w:pStyle w:val="48"/>
              <w:numPr>
                <w:ilvl w:val="0"/>
                <w:numId w:val="8"/>
              </w:numPr>
              <w:ind w:firstLineChars="0"/>
              <w:rPr>
                <w:rFonts w:ascii="宋体" w:hAnsi="宋体" w:cs="宋体"/>
                <w:szCs w:val="21"/>
              </w:rPr>
            </w:pPr>
            <w:r>
              <w:rPr>
                <w:rFonts w:hint="eastAsia" w:ascii="宋体" w:hAnsi="宋体" w:cs="宋体"/>
                <w:szCs w:val="21"/>
              </w:rPr>
              <w:t>提供web管理服务；</w:t>
            </w:r>
          </w:p>
          <w:p>
            <w:pPr>
              <w:pStyle w:val="48"/>
              <w:numPr>
                <w:ilvl w:val="0"/>
                <w:numId w:val="8"/>
              </w:numPr>
              <w:ind w:firstLineChars="0"/>
              <w:rPr>
                <w:rFonts w:ascii="宋体" w:hAnsi="宋体" w:cs="宋体"/>
                <w:szCs w:val="21"/>
              </w:rPr>
            </w:pPr>
            <w:r>
              <w:rPr>
                <w:rFonts w:hint="eastAsia" w:ascii="宋体" w:hAnsi="宋体" w:cs="宋体"/>
                <w:szCs w:val="21"/>
              </w:rPr>
              <w:t>识别日志可保持六个月；</w:t>
            </w:r>
          </w:p>
          <w:p>
            <w:pPr>
              <w:pStyle w:val="48"/>
              <w:numPr>
                <w:ilvl w:val="0"/>
                <w:numId w:val="8"/>
              </w:numPr>
              <w:ind w:firstLineChars="0"/>
              <w:rPr>
                <w:rFonts w:ascii="宋体" w:hAnsi="宋体" w:cs="宋体"/>
                <w:szCs w:val="21"/>
              </w:rPr>
            </w:pPr>
            <w:r>
              <w:rPr>
                <w:rFonts w:hint="eastAsia" w:ascii="宋体" w:hAnsi="宋体" w:cs="宋体"/>
                <w:szCs w:val="21"/>
              </w:rPr>
              <w:t>处理器：Intel至强E3-1200；</w:t>
            </w:r>
          </w:p>
          <w:p>
            <w:pPr>
              <w:pStyle w:val="48"/>
              <w:numPr>
                <w:ilvl w:val="0"/>
                <w:numId w:val="8"/>
              </w:numPr>
              <w:ind w:firstLineChars="0"/>
              <w:rPr>
                <w:rFonts w:ascii="宋体" w:hAnsi="宋体" w:cs="宋体"/>
                <w:szCs w:val="21"/>
              </w:rPr>
            </w:pPr>
            <w:r>
              <w:rPr>
                <w:rFonts w:hint="eastAsia" w:ascii="宋体" w:hAnsi="宋体" w:cs="宋体"/>
                <w:szCs w:val="21"/>
              </w:rPr>
              <w:t>CPU频率：3.3 GHz；</w:t>
            </w:r>
          </w:p>
          <w:p>
            <w:pPr>
              <w:pStyle w:val="48"/>
              <w:numPr>
                <w:ilvl w:val="0"/>
                <w:numId w:val="8"/>
              </w:numPr>
              <w:ind w:firstLineChars="0"/>
              <w:rPr>
                <w:rFonts w:ascii="宋体" w:hAnsi="宋体" w:cs="宋体"/>
                <w:szCs w:val="21"/>
              </w:rPr>
            </w:pPr>
            <w:r>
              <w:rPr>
                <w:rFonts w:hint="eastAsia" w:ascii="宋体" w:hAnsi="宋体" w:cs="宋体"/>
                <w:szCs w:val="21"/>
              </w:rPr>
              <w:t>三级缓存：8MB；</w:t>
            </w:r>
          </w:p>
          <w:p>
            <w:pPr>
              <w:pStyle w:val="48"/>
              <w:numPr>
                <w:ilvl w:val="0"/>
                <w:numId w:val="8"/>
              </w:numPr>
              <w:ind w:firstLineChars="0"/>
              <w:rPr>
                <w:rFonts w:ascii="宋体" w:hAnsi="宋体" w:cs="宋体"/>
                <w:szCs w:val="21"/>
              </w:rPr>
            </w:pPr>
            <w:r>
              <w:rPr>
                <w:rFonts w:hint="eastAsia" w:ascii="宋体" w:hAnsi="宋体" w:cs="宋体"/>
                <w:szCs w:val="21"/>
              </w:rPr>
              <w:t>内存容量：2根8G</w:t>
            </w:r>
          </w:p>
          <w:p>
            <w:pPr>
              <w:pStyle w:val="48"/>
              <w:numPr>
                <w:ilvl w:val="0"/>
                <w:numId w:val="8"/>
              </w:numPr>
              <w:ind w:firstLineChars="0"/>
              <w:rPr>
                <w:rFonts w:ascii="宋体" w:hAnsi="宋体" w:cs="宋体"/>
                <w:szCs w:val="21"/>
              </w:rPr>
            </w:pPr>
            <w:r>
              <w:rPr>
                <w:rFonts w:hint="eastAsia" w:ascii="宋体" w:hAnsi="宋体" w:cs="宋体"/>
                <w:szCs w:val="21"/>
              </w:rPr>
              <w:t>最大内存容量：32GB；</w:t>
            </w:r>
          </w:p>
          <w:p>
            <w:pPr>
              <w:pStyle w:val="48"/>
              <w:numPr>
                <w:ilvl w:val="0"/>
                <w:numId w:val="8"/>
              </w:numPr>
              <w:ind w:firstLineChars="0"/>
              <w:rPr>
                <w:rFonts w:ascii="宋体" w:hAnsi="宋体" w:cs="宋体"/>
                <w:szCs w:val="21"/>
              </w:rPr>
            </w:pPr>
            <w:r>
              <w:rPr>
                <w:rFonts w:hint="eastAsia" w:ascii="宋体" w:hAnsi="宋体" w:cs="宋体"/>
                <w:szCs w:val="21"/>
              </w:rPr>
              <w:t>硬盘容量：1块256G SSD+1块SATA；</w:t>
            </w:r>
          </w:p>
          <w:p>
            <w:pPr>
              <w:pStyle w:val="48"/>
              <w:numPr>
                <w:ilvl w:val="0"/>
                <w:numId w:val="8"/>
              </w:numPr>
              <w:ind w:firstLineChars="0"/>
              <w:rPr>
                <w:rFonts w:ascii="宋体" w:hAnsi="宋体" w:cs="宋体"/>
                <w:szCs w:val="21"/>
              </w:rPr>
            </w:pPr>
            <w:r>
              <w:rPr>
                <w:rFonts w:hint="eastAsia" w:ascii="宋体" w:hAnsi="宋体" w:cs="宋体"/>
                <w:szCs w:val="21"/>
              </w:rPr>
              <w:t>内部硬盘架数：最大支持4块3.5英寸SATA/SAS硬盘；</w:t>
            </w:r>
          </w:p>
          <w:p>
            <w:pPr>
              <w:pStyle w:val="48"/>
              <w:numPr>
                <w:ilvl w:val="0"/>
                <w:numId w:val="8"/>
              </w:numPr>
              <w:ind w:firstLineChars="0"/>
              <w:rPr>
                <w:rFonts w:ascii="宋体" w:hAnsi="宋体" w:cs="宋体"/>
                <w:szCs w:val="21"/>
              </w:rPr>
            </w:pPr>
            <w:r>
              <w:rPr>
                <w:rFonts w:hint="eastAsia" w:ascii="宋体" w:hAnsi="宋体" w:cs="宋体"/>
                <w:szCs w:val="21"/>
              </w:rPr>
              <w:t>电源功率：290W</w:t>
            </w:r>
          </w:p>
          <w:p>
            <w:pPr>
              <w:pStyle w:val="48"/>
              <w:spacing w:line="276" w:lineRule="auto"/>
              <w:ind w:left="420" w:firstLine="0" w:firstLineChars="0"/>
              <w:rPr>
                <w:rFonts w:ascii="宋体" w:hAnsi="宋体" w:cs="宋体"/>
                <w:szCs w:val="21"/>
              </w:rPr>
            </w:pPr>
            <w:r>
              <w:rPr>
                <w:rFonts w:hint="eastAsia" w:ascii="宋体" w:hAnsi="宋体" w:cs="宋体"/>
                <w:szCs w:val="21"/>
              </w:rPr>
              <w:t>▲提供人脸支付管理系统软件的著作权证书（复印件加盖公章）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210" w:firstLineChars="100"/>
              <w:rPr>
                <w:rFonts w:ascii="宋体" w:hAnsi="宋体" w:cs="宋体"/>
                <w:szCs w:val="21"/>
              </w:rPr>
            </w:pPr>
            <w:r>
              <w:rPr>
                <w:rFonts w:hint="eastAsia" w:ascii="宋体" w:hAnsi="宋体" w:cs="宋体"/>
                <w:szCs w:val="21"/>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人脸算法系统（含服务器硬件）</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6</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后台服务器硬件</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9"/>
              </w:numPr>
              <w:ind w:firstLineChars="0"/>
              <w:rPr>
                <w:rFonts w:ascii="宋体" w:hAnsi="宋体" w:cs="宋体"/>
                <w:szCs w:val="21"/>
              </w:rPr>
            </w:pPr>
            <w:r>
              <w:rPr>
                <w:rFonts w:hint="eastAsia" w:ascii="宋体" w:hAnsi="宋体" w:cs="宋体"/>
                <w:szCs w:val="21"/>
              </w:rPr>
              <w:t>智慧食堂数字化管理平台的承载服务器；</w:t>
            </w:r>
          </w:p>
          <w:p>
            <w:pPr>
              <w:pStyle w:val="48"/>
              <w:numPr>
                <w:ilvl w:val="0"/>
                <w:numId w:val="9"/>
              </w:numPr>
              <w:ind w:firstLineChars="0"/>
              <w:rPr>
                <w:rFonts w:ascii="宋体" w:hAnsi="宋体" w:cs="宋体"/>
                <w:szCs w:val="21"/>
              </w:rPr>
            </w:pPr>
            <w:r>
              <w:rPr>
                <w:rFonts w:hint="eastAsia" w:ascii="宋体" w:hAnsi="宋体" w:cs="宋体"/>
                <w:szCs w:val="21"/>
              </w:rPr>
              <w:t>处理器：Intel至强E3-1200；</w:t>
            </w:r>
          </w:p>
          <w:p>
            <w:pPr>
              <w:pStyle w:val="48"/>
              <w:numPr>
                <w:ilvl w:val="0"/>
                <w:numId w:val="9"/>
              </w:numPr>
              <w:ind w:firstLineChars="0"/>
              <w:rPr>
                <w:rFonts w:ascii="宋体" w:hAnsi="宋体" w:cs="宋体"/>
                <w:szCs w:val="21"/>
              </w:rPr>
            </w:pPr>
            <w:r>
              <w:rPr>
                <w:rFonts w:hint="eastAsia" w:ascii="宋体" w:hAnsi="宋体" w:cs="宋体"/>
                <w:szCs w:val="21"/>
              </w:rPr>
              <w:t>CPU频率：3.3 GHz；</w:t>
            </w:r>
          </w:p>
          <w:p>
            <w:pPr>
              <w:pStyle w:val="48"/>
              <w:numPr>
                <w:ilvl w:val="0"/>
                <w:numId w:val="9"/>
              </w:numPr>
              <w:ind w:firstLineChars="0"/>
              <w:rPr>
                <w:rFonts w:ascii="宋体" w:hAnsi="宋体" w:cs="宋体"/>
                <w:szCs w:val="21"/>
              </w:rPr>
            </w:pPr>
            <w:r>
              <w:rPr>
                <w:rFonts w:hint="eastAsia" w:ascii="宋体" w:hAnsi="宋体" w:cs="宋体"/>
                <w:szCs w:val="21"/>
              </w:rPr>
              <w:t>三级缓存：8MB；</w:t>
            </w:r>
          </w:p>
          <w:p>
            <w:pPr>
              <w:pStyle w:val="48"/>
              <w:numPr>
                <w:ilvl w:val="0"/>
                <w:numId w:val="9"/>
              </w:numPr>
              <w:ind w:firstLineChars="0"/>
              <w:rPr>
                <w:rFonts w:ascii="宋体" w:hAnsi="宋体" w:cs="宋体"/>
                <w:szCs w:val="21"/>
              </w:rPr>
            </w:pPr>
            <w:r>
              <w:rPr>
                <w:rFonts w:hint="eastAsia" w:ascii="宋体" w:hAnsi="宋体" w:cs="宋体"/>
                <w:szCs w:val="21"/>
              </w:rPr>
              <w:t>内存容量：2根8G</w:t>
            </w:r>
          </w:p>
          <w:p>
            <w:pPr>
              <w:pStyle w:val="48"/>
              <w:numPr>
                <w:ilvl w:val="0"/>
                <w:numId w:val="9"/>
              </w:numPr>
              <w:ind w:firstLineChars="0"/>
              <w:rPr>
                <w:rFonts w:ascii="宋体" w:hAnsi="宋体" w:cs="宋体"/>
                <w:szCs w:val="21"/>
              </w:rPr>
            </w:pPr>
            <w:r>
              <w:rPr>
                <w:rFonts w:hint="eastAsia" w:ascii="宋体" w:hAnsi="宋体" w:cs="宋体"/>
                <w:szCs w:val="21"/>
              </w:rPr>
              <w:t>最大内存容量：32GB；</w:t>
            </w:r>
          </w:p>
          <w:p>
            <w:pPr>
              <w:pStyle w:val="48"/>
              <w:numPr>
                <w:ilvl w:val="0"/>
                <w:numId w:val="9"/>
              </w:numPr>
              <w:ind w:firstLineChars="0"/>
              <w:rPr>
                <w:rFonts w:ascii="宋体" w:hAnsi="宋体" w:cs="宋体"/>
                <w:szCs w:val="21"/>
              </w:rPr>
            </w:pPr>
            <w:r>
              <w:rPr>
                <w:rFonts w:hint="eastAsia" w:ascii="宋体" w:hAnsi="宋体" w:cs="宋体"/>
                <w:szCs w:val="21"/>
              </w:rPr>
              <w:t>硬盘容量：1块256G SSD+1块SATA；</w:t>
            </w:r>
          </w:p>
          <w:p>
            <w:pPr>
              <w:pStyle w:val="48"/>
              <w:numPr>
                <w:ilvl w:val="0"/>
                <w:numId w:val="9"/>
              </w:numPr>
              <w:ind w:firstLineChars="0"/>
              <w:rPr>
                <w:rFonts w:ascii="宋体" w:hAnsi="宋体" w:cs="宋体"/>
                <w:szCs w:val="21"/>
              </w:rPr>
            </w:pPr>
            <w:r>
              <w:rPr>
                <w:rFonts w:hint="eastAsia" w:ascii="宋体" w:hAnsi="宋体" w:cs="宋体"/>
                <w:szCs w:val="21"/>
              </w:rPr>
              <w:t>内部硬盘架数：最大支持4块3.5英寸SATA/SAS硬盘；</w:t>
            </w:r>
          </w:p>
          <w:p>
            <w:pPr>
              <w:spacing w:line="276" w:lineRule="auto"/>
              <w:rPr>
                <w:rFonts w:ascii="宋体" w:hAnsi="宋体" w:cs="宋体"/>
                <w:szCs w:val="21"/>
              </w:rPr>
            </w:pPr>
            <w:r>
              <w:rPr>
                <w:rFonts w:hint="eastAsia" w:ascii="宋体" w:hAnsi="宋体" w:cs="宋体"/>
                <w:szCs w:val="21"/>
              </w:rPr>
              <w:t>电源功率：290W</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210" w:firstLineChars="100"/>
              <w:rPr>
                <w:rFonts w:ascii="宋体" w:hAnsi="宋体" w:cs="宋体"/>
                <w:szCs w:val="21"/>
              </w:rPr>
            </w:pPr>
            <w:r>
              <w:rPr>
                <w:rFonts w:hint="eastAsia" w:ascii="宋体" w:hAnsi="宋体" w:cs="宋体"/>
                <w:szCs w:val="21"/>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 xml:space="preserve"> 软件安装后台服务器。</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7</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读卡器</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10"/>
              </w:numPr>
              <w:spacing w:line="276" w:lineRule="auto"/>
              <w:ind w:firstLineChars="0"/>
              <w:rPr>
                <w:rFonts w:ascii="宋体" w:hAnsi="宋体" w:cs="宋体"/>
                <w:szCs w:val="21"/>
              </w:rPr>
            </w:pPr>
            <w:r>
              <w:rPr>
                <w:rFonts w:hint="eastAsia" w:ascii="宋体" w:hAnsi="宋体" w:cs="宋体"/>
                <w:szCs w:val="21"/>
              </w:rPr>
              <w:t>采用USB免驱接口方式，即接即用，无效安装任何驱动；</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针对感应部分做了优化处理，杜绝读卡盲区；</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支持卡类：μEM4001或及其兼容的RFID卡/可选MF1IC卡；</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数据格式：卡内四字节序列号转换为十位十进制形式；</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通信格式：扩展键盘码；</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读卡距离：大于80mm；</w:t>
            </w:r>
          </w:p>
          <w:p>
            <w:pPr>
              <w:pStyle w:val="48"/>
              <w:numPr>
                <w:ilvl w:val="0"/>
                <w:numId w:val="10"/>
              </w:numPr>
              <w:spacing w:line="276" w:lineRule="auto"/>
              <w:ind w:firstLineChars="0"/>
              <w:rPr>
                <w:rFonts w:ascii="宋体" w:hAnsi="宋体" w:cs="宋体"/>
                <w:szCs w:val="21"/>
              </w:rPr>
            </w:pPr>
            <w:r>
              <w:rPr>
                <w:rFonts w:hint="eastAsia" w:ascii="宋体" w:hAnsi="宋体" w:cs="宋体"/>
                <w:szCs w:val="21"/>
              </w:rPr>
              <w:t>读卡时间：小于100ms</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 xml:space="preserve"> 系统配套发卡、读卡器</w:t>
            </w:r>
          </w:p>
        </w:tc>
      </w:tr>
      <w:tr>
        <w:tblPrEx>
          <w:tblCellMar>
            <w:top w:w="15" w:type="dxa"/>
            <w:left w:w="15" w:type="dxa"/>
            <w:bottom w:w="15" w:type="dxa"/>
            <w:right w:w="15" w:type="dxa"/>
          </w:tblCellMar>
        </w:tblPrEx>
        <w:trPr>
          <w:trHeight w:val="5372"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8</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台式收银机</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11"/>
              </w:numPr>
              <w:ind w:firstLineChars="0"/>
              <w:rPr>
                <w:rFonts w:ascii="宋体" w:hAnsi="宋体" w:cs="宋体"/>
                <w:szCs w:val="21"/>
              </w:rPr>
            </w:pPr>
            <w:r>
              <w:rPr>
                <w:rFonts w:hint="eastAsia" w:ascii="宋体" w:hAnsi="宋体" w:cs="宋体"/>
                <w:szCs w:val="21"/>
              </w:rPr>
              <w:t>用于收银，支持单品收银、定价收银和定额收银三种模式；</w:t>
            </w:r>
          </w:p>
          <w:p>
            <w:pPr>
              <w:pStyle w:val="48"/>
              <w:numPr>
                <w:ilvl w:val="0"/>
                <w:numId w:val="11"/>
              </w:numPr>
              <w:ind w:firstLineChars="0"/>
              <w:rPr>
                <w:rFonts w:ascii="宋体" w:hAnsi="宋体" w:cs="宋体"/>
                <w:szCs w:val="21"/>
              </w:rPr>
            </w:pPr>
            <w:r>
              <w:rPr>
                <w:rFonts w:hint="eastAsia" w:ascii="宋体" w:hAnsi="宋体" w:cs="宋体"/>
                <w:szCs w:val="21"/>
              </w:rPr>
              <w:t>CPU：高通骁龙8核；</w:t>
            </w:r>
          </w:p>
          <w:p>
            <w:pPr>
              <w:pStyle w:val="48"/>
              <w:numPr>
                <w:ilvl w:val="0"/>
                <w:numId w:val="11"/>
              </w:numPr>
              <w:ind w:firstLineChars="0"/>
              <w:rPr>
                <w:rFonts w:ascii="宋体" w:hAnsi="宋体" w:cs="宋体"/>
                <w:szCs w:val="21"/>
              </w:rPr>
            </w:pPr>
            <w:r>
              <w:rPr>
                <w:rFonts w:hint="eastAsia" w:ascii="宋体" w:hAnsi="宋体" w:cs="宋体"/>
                <w:szCs w:val="21"/>
              </w:rPr>
              <w:t>运行内存：1GB RAM；</w:t>
            </w:r>
          </w:p>
          <w:p>
            <w:pPr>
              <w:pStyle w:val="48"/>
              <w:numPr>
                <w:ilvl w:val="0"/>
                <w:numId w:val="11"/>
              </w:numPr>
              <w:ind w:firstLineChars="0"/>
              <w:rPr>
                <w:rFonts w:ascii="宋体" w:hAnsi="宋体" w:cs="宋体"/>
                <w:szCs w:val="21"/>
              </w:rPr>
            </w:pPr>
            <w:r>
              <w:rPr>
                <w:rFonts w:hint="eastAsia" w:ascii="宋体" w:hAnsi="宋体" w:cs="宋体"/>
                <w:szCs w:val="21"/>
              </w:rPr>
              <w:t>存储器：</w:t>
            </w:r>
            <w:r>
              <w:rPr>
                <w:rFonts w:ascii="宋体" w:hAnsi="宋体" w:cs="宋体"/>
                <w:szCs w:val="21"/>
              </w:rPr>
              <w:t>8GB ROM</w:t>
            </w:r>
            <w:r>
              <w:rPr>
                <w:rFonts w:hint="eastAsia" w:ascii="宋体" w:hAnsi="宋体" w:cs="宋体"/>
                <w:szCs w:val="21"/>
              </w:rPr>
              <w:t>；</w:t>
            </w:r>
          </w:p>
          <w:p>
            <w:pPr>
              <w:pStyle w:val="48"/>
              <w:numPr>
                <w:ilvl w:val="0"/>
                <w:numId w:val="11"/>
              </w:numPr>
              <w:ind w:firstLineChars="0"/>
              <w:rPr>
                <w:rFonts w:ascii="宋体" w:hAnsi="宋体" w:cs="宋体"/>
                <w:szCs w:val="21"/>
              </w:rPr>
            </w:pPr>
            <w:r>
              <w:rPr>
                <w:rFonts w:hint="eastAsia" w:ascii="宋体" w:hAnsi="宋体" w:cs="宋体"/>
                <w:szCs w:val="21"/>
              </w:rPr>
              <w:t>主屏：11.6寸多点触控电容屏；</w:t>
            </w:r>
          </w:p>
          <w:p>
            <w:pPr>
              <w:pStyle w:val="48"/>
              <w:numPr>
                <w:ilvl w:val="0"/>
                <w:numId w:val="11"/>
              </w:numPr>
              <w:ind w:firstLineChars="0"/>
              <w:rPr>
                <w:rFonts w:ascii="宋体" w:hAnsi="宋体" w:cs="宋体"/>
                <w:szCs w:val="21"/>
              </w:rPr>
            </w:pPr>
            <w:r>
              <w:rPr>
                <w:rFonts w:hint="eastAsia" w:ascii="宋体" w:hAnsi="宋体" w:cs="宋体"/>
                <w:szCs w:val="21"/>
              </w:rPr>
              <w:t>客显屏：</w:t>
            </w:r>
            <w:r>
              <w:rPr>
                <w:rFonts w:ascii="宋体" w:hAnsi="宋体" w:cs="宋体"/>
                <w:szCs w:val="21"/>
              </w:rPr>
              <w:t>128×40Dots</w:t>
            </w:r>
            <w:r>
              <w:rPr>
                <w:rFonts w:hint="eastAsia" w:ascii="宋体" w:hAnsi="宋体" w:cs="宋体"/>
                <w:szCs w:val="21"/>
              </w:rPr>
              <w:t>；</w:t>
            </w:r>
          </w:p>
          <w:p>
            <w:pPr>
              <w:pStyle w:val="48"/>
              <w:numPr>
                <w:ilvl w:val="0"/>
                <w:numId w:val="11"/>
              </w:numPr>
              <w:ind w:firstLineChars="0"/>
              <w:rPr>
                <w:rFonts w:ascii="宋体" w:hAnsi="宋体" w:cs="宋体"/>
                <w:szCs w:val="21"/>
              </w:rPr>
            </w:pPr>
            <w:r>
              <w:rPr>
                <w:rFonts w:hint="eastAsia" w:ascii="宋体" w:hAnsi="宋体" w:cs="宋体"/>
                <w:szCs w:val="21"/>
              </w:rPr>
              <w:t>内置58mm热敏打印机；</w:t>
            </w:r>
          </w:p>
          <w:p>
            <w:pPr>
              <w:pStyle w:val="48"/>
              <w:numPr>
                <w:ilvl w:val="0"/>
                <w:numId w:val="11"/>
              </w:numPr>
              <w:ind w:firstLineChars="0"/>
              <w:rPr>
                <w:rFonts w:ascii="宋体" w:hAnsi="宋体" w:cs="宋体"/>
                <w:szCs w:val="21"/>
              </w:rPr>
            </w:pPr>
            <w:r>
              <w:rPr>
                <w:rFonts w:hint="eastAsia" w:ascii="宋体" w:hAnsi="宋体" w:cs="宋体"/>
                <w:szCs w:val="21"/>
              </w:rPr>
              <w:t>接口：4*USB口，1*RJ11串口，1*RJ45LAN口；</w:t>
            </w:r>
          </w:p>
          <w:p>
            <w:pPr>
              <w:pStyle w:val="48"/>
              <w:numPr>
                <w:ilvl w:val="0"/>
                <w:numId w:val="11"/>
              </w:numPr>
              <w:ind w:firstLineChars="0"/>
              <w:rPr>
                <w:rFonts w:ascii="宋体" w:hAnsi="宋体" w:cs="宋体"/>
                <w:szCs w:val="21"/>
              </w:rPr>
            </w:pPr>
            <w:r>
              <w:rPr>
                <w:rFonts w:hint="eastAsia" w:ascii="宋体" w:hAnsi="宋体" w:cs="宋体"/>
                <w:szCs w:val="21"/>
              </w:rPr>
              <w:t>WiFi：支持2.4G，支持IEEE802.11a/b/g/n；</w:t>
            </w:r>
          </w:p>
          <w:p>
            <w:pPr>
              <w:pStyle w:val="48"/>
              <w:numPr>
                <w:ilvl w:val="0"/>
                <w:numId w:val="11"/>
              </w:numPr>
              <w:ind w:firstLineChars="0"/>
              <w:rPr>
                <w:rFonts w:ascii="宋体" w:hAnsi="宋体" w:cs="宋体"/>
                <w:szCs w:val="21"/>
              </w:rPr>
            </w:pPr>
            <w:r>
              <w:rPr>
                <w:rFonts w:hint="eastAsia" w:ascii="宋体" w:hAnsi="宋体" w:cs="宋体"/>
                <w:szCs w:val="21"/>
              </w:rPr>
              <w:t>蓝牙：支持蓝牙2.1/3.0/4.2，支持BLE；</w:t>
            </w:r>
          </w:p>
          <w:p>
            <w:pPr>
              <w:pStyle w:val="48"/>
              <w:numPr>
                <w:ilvl w:val="0"/>
                <w:numId w:val="11"/>
              </w:numPr>
              <w:ind w:firstLineChars="0"/>
              <w:rPr>
                <w:rFonts w:ascii="宋体" w:hAnsi="宋体" w:cs="宋体"/>
                <w:szCs w:val="21"/>
              </w:rPr>
            </w:pPr>
            <w:r>
              <w:rPr>
                <w:rFonts w:hint="eastAsia" w:ascii="宋体" w:hAnsi="宋体" w:cs="宋体"/>
                <w:szCs w:val="21"/>
              </w:rPr>
              <w:t>NFC:支持；</w:t>
            </w:r>
          </w:p>
          <w:p>
            <w:pPr>
              <w:pStyle w:val="48"/>
              <w:numPr>
                <w:ilvl w:val="0"/>
                <w:numId w:val="11"/>
              </w:numPr>
              <w:ind w:firstLineChars="0"/>
              <w:rPr>
                <w:rFonts w:ascii="宋体" w:hAnsi="宋体" w:cs="宋体"/>
                <w:szCs w:val="21"/>
              </w:rPr>
            </w:pPr>
            <w:r>
              <w:rPr>
                <w:rFonts w:hint="eastAsia" w:ascii="宋体" w:hAnsi="宋体" w:cs="宋体"/>
                <w:szCs w:val="21"/>
              </w:rPr>
              <w:t>扫码摄像头：支持；</w:t>
            </w:r>
          </w:p>
          <w:p>
            <w:pPr>
              <w:spacing w:line="276" w:lineRule="auto"/>
              <w:rPr>
                <w:rFonts w:ascii="宋体" w:hAnsi="宋体" w:cs="宋体"/>
                <w:szCs w:val="21"/>
              </w:rPr>
            </w:pPr>
            <w:r>
              <w:rPr>
                <w:rFonts w:hint="eastAsia" w:ascii="宋体" w:hAnsi="宋体" w:cs="宋体"/>
                <w:szCs w:val="21"/>
              </w:rPr>
              <w:t>▲提供收银系统软件的著作权证书（复印件加盖公章）</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 xml:space="preserve"> 收银机</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9</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扫码终端设备</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48"/>
              <w:numPr>
                <w:ilvl w:val="0"/>
                <w:numId w:val="12"/>
              </w:numPr>
              <w:ind w:firstLineChars="0"/>
              <w:rPr>
                <w:rFonts w:ascii="宋体" w:hAnsi="宋体" w:cs="宋体"/>
                <w:szCs w:val="21"/>
              </w:rPr>
            </w:pPr>
            <w:r>
              <w:rPr>
                <w:rFonts w:hint="eastAsia" w:ascii="宋体" w:hAnsi="宋体" w:cs="宋体"/>
                <w:szCs w:val="21"/>
              </w:rPr>
              <w:t>用于二维码等移动支付应用的终端设备；</w:t>
            </w:r>
          </w:p>
          <w:p>
            <w:pPr>
              <w:pStyle w:val="48"/>
              <w:numPr>
                <w:ilvl w:val="0"/>
                <w:numId w:val="12"/>
              </w:numPr>
              <w:ind w:firstLineChars="0"/>
              <w:rPr>
                <w:rFonts w:ascii="宋体" w:hAnsi="宋体" w:cs="宋体"/>
                <w:szCs w:val="21"/>
              </w:rPr>
            </w:pPr>
            <w:r>
              <w:rPr>
                <w:rFonts w:hint="eastAsia" w:ascii="宋体" w:hAnsi="宋体" w:cs="宋体"/>
                <w:szCs w:val="21"/>
              </w:rPr>
              <w:t>图像传感器：CMOS；</w:t>
            </w:r>
          </w:p>
          <w:p>
            <w:pPr>
              <w:pStyle w:val="48"/>
              <w:numPr>
                <w:ilvl w:val="0"/>
                <w:numId w:val="12"/>
              </w:numPr>
              <w:ind w:firstLineChars="0"/>
              <w:rPr>
                <w:rFonts w:ascii="宋体" w:hAnsi="宋体" w:cs="宋体"/>
                <w:szCs w:val="21"/>
              </w:rPr>
            </w:pPr>
            <w:r>
              <w:rPr>
                <w:rFonts w:hint="eastAsia" w:ascii="宋体" w:hAnsi="宋体" w:cs="宋体"/>
                <w:szCs w:val="21"/>
              </w:rPr>
              <w:t>像素:752*480 CMOS；</w:t>
            </w:r>
          </w:p>
          <w:p>
            <w:pPr>
              <w:pStyle w:val="48"/>
              <w:numPr>
                <w:ilvl w:val="0"/>
                <w:numId w:val="12"/>
              </w:numPr>
              <w:ind w:firstLineChars="0"/>
              <w:rPr>
                <w:rFonts w:ascii="宋体" w:hAnsi="宋体" w:cs="宋体"/>
                <w:szCs w:val="21"/>
              </w:rPr>
            </w:pPr>
            <w:r>
              <w:rPr>
                <w:rFonts w:hint="eastAsia" w:ascii="宋体" w:hAnsi="宋体" w:cs="宋体"/>
                <w:szCs w:val="21"/>
              </w:rPr>
              <w:t>识读精度：≥5 mil；</w:t>
            </w:r>
          </w:p>
          <w:p>
            <w:pPr>
              <w:pStyle w:val="48"/>
              <w:numPr>
                <w:ilvl w:val="0"/>
                <w:numId w:val="12"/>
              </w:numPr>
              <w:ind w:firstLineChars="0"/>
              <w:rPr>
                <w:rFonts w:ascii="宋体" w:hAnsi="宋体" w:cs="宋体"/>
                <w:szCs w:val="21"/>
              </w:rPr>
            </w:pPr>
            <w:r>
              <w:rPr>
                <w:rFonts w:hint="eastAsia" w:ascii="宋体" w:hAnsi="宋体" w:cs="宋体"/>
                <w:szCs w:val="21"/>
              </w:rPr>
              <w:t>运动容差：2.5 米/秒；</w:t>
            </w:r>
          </w:p>
          <w:p>
            <w:pPr>
              <w:pStyle w:val="48"/>
              <w:numPr>
                <w:ilvl w:val="0"/>
                <w:numId w:val="12"/>
              </w:numPr>
              <w:ind w:firstLineChars="0"/>
              <w:rPr>
                <w:rFonts w:ascii="宋体" w:hAnsi="宋体" w:cs="宋体"/>
                <w:szCs w:val="21"/>
              </w:rPr>
            </w:pPr>
            <w:r>
              <w:rPr>
                <w:rFonts w:hint="eastAsia" w:ascii="宋体" w:hAnsi="宋体" w:cs="宋体"/>
                <w:szCs w:val="21"/>
              </w:rPr>
              <w:t>尺寸:83*81*148 mm；</w:t>
            </w:r>
          </w:p>
          <w:p>
            <w:pP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210" w:firstLineChars="100"/>
              <w:rPr>
                <w:rFonts w:ascii="宋体" w:hAnsi="宋体" w:cs="宋体"/>
                <w:szCs w:val="21"/>
              </w:rPr>
            </w:pPr>
            <w:r>
              <w:rPr>
                <w:rFonts w:hint="eastAsia" w:ascii="宋体" w:hAnsi="宋体" w:cs="宋体"/>
                <w:szCs w:val="21"/>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扫码设备</w:t>
            </w:r>
          </w:p>
        </w:tc>
      </w:tr>
      <w:tr>
        <w:tblPrEx>
          <w:tblCellMar>
            <w:top w:w="15" w:type="dxa"/>
            <w:left w:w="15" w:type="dxa"/>
            <w:bottom w:w="15" w:type="dxa"/>
            <w:right w:w="15" w:type="dxa"/>
          </w:tblCellMar>
        </w:tblPrEx>
        <w:trPr>
          <w:trHeight w:val="49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10</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系统安装实施费</w:t>
            </w:r>
          </w:p>
        </w:tc>
        <w:tc>
          <w:tcPr>
            <w:tcW w:w="49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运输、安装、调试、培训</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szCs w:val="21"/>
              </w:rPr>
            </w:pPr>
            <w:r>
              <w:rPr>
                <w:rFonts w:hint="eastAsia" w:ascii="宋体" w:hAnsi="宋体" w:cs="宋体"/>
                <w:szCs w:val="21"/>
              </w:rPr>
              <w:t>宗</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szCs w:val="21"/>
              </w:rPr>
            </w:pPr>
            <w:r>
              <w:rPr>
                <w:rFonts w:hint="eastAsia" w:ascii="宋体" w:hAnsi="宋体" w:cs="宋体"/>
                <w:szCs w:val="21"/>
              </w:rPr>
              <w:t>服务费</w:t>
            </w:r>
          </w:p>
        </w:tc>
      </w:tr>
    </w:tbl>
    <w:p>
      <w:pPr>
        <w:spacing w:line="360" w:lineRule="auto"/>
        <w:rPr>
          <w:rFonts w:ascii="宋体" w:hAnsi="宋体" w:cs="宋体"/>
          <w:b/>
          <w:bCs/>
          <w:color w:val="000000"/>
          <w:sz w:val="24"/>
        </w:rPr>
      </w:pPr>
    </w:p>
    <w:p>
      <w:pPr>
        <w:spacing w:line="360" w:lineRule="auto"/>
        <w:rPr>
          <w:rFonts w:ascii="宋体" w:hAnsi="宋体" w:cs="宋体"/>
          <w:b/>
          <w:bCs/>
          <w:color w:val="000000"/>
          <w:sz w:val="24"/>
        </w:rPr>
      </w:pPr>
      <w:r>
        <w:rPr>
          <w:rFonts w:hint="eastAsia" w:ascii="宋体" w:hAnsi="宋体" w:cs="宋体"/>
          <w:b/>
          <w:bCs/>
          <w:color w:val="000000"/>
          <w:sz w:val="24"/>
        </w:rPr>
        <w:t>二、 产品质量及服务要求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1、产品质量要求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（1）投标人提供的设备必须是原厂商正宗原装全新产品，随机资料完整。型号、性能及指标符合国家及招标文件提出的有关技术、质量、安全标准。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（2）所有设备在开箱检验时必须完好，无破损，配置与装箱单相符。数量、质量及性能不低于本需求书中提出的要求。所供设备应能构成一个完整的运行系统。所有需要的硬件和软件需配齐。</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（3）设备外观清洁，标记编号以及盘面显示等字体清晰，明确。铭牌、使用指示、警告指示应以中文或英文及易懂的通用符号来表示；应准确无误地表明设备之型号、规格、制造厂及生产或出厂日期。</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（4）对于影响设备正常工作的必要组成部分，无论在技术规范中指出与否，投标人都应提供并在投标文件中明确列出。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2、技术服务要求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(1）供货</w:t>
      </w:r>
    </w:p>
    <w:p>
      <w:pPr>
        <w:spacing w:line="360" w:lineRule="auto"/>
        <w:ind w:firstLine="480" w:firstLineChars="200"/>
        <w:rPr>
          <w:rFonts w:ascii="宋体" w:hAnsi="宋体" w:cs="宋体"/>
          <w:color w:val="000000"/>
          <w:sz w:val="24"/>
        </w:rPr>
      </w:pPr>
      <w:r>
        <w:rPr>
          <w:rFonts w:hint="eastAsia" w:ascii="宋体" w:hAnsi="宋体" w:cs="宋体"/>
          <w:color w:val="000000"/>
          <w:sz w:val="24"/>
        </w:rPr>
        <w:t>投标人须有义务保证采购人系统的完整性，部分连接运行配件未在招标书中明示的，投标人应在投标时予以补充，如项目实施过程中因缺少设备、配件或服务导致采购人系统无法正常运行，中标人须承诺免费提供；除采购人明确提出的变更外，本项目不再增加任何费用；投标人必须提供所有项目相关费用的报价列表，报价风险由其自行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中标人应确保其技术建议以及所提供的软硬件设备的完整性、实用性，保证升级后系统及时投入正常运行。若出现因中标人提供的软硬件设备不满足要求、不合理，或者其所提供的技术支持和服务不全面，而导致系统升级无法实现或不能完全实现的状况，中标人负全部责任。</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所投设备提供三年免费质保服务。</w:t>
      </w:r>
      <w:r>
        <w:rPr>
          <w:rFonts w:hint="eastAsia" w:ascii="宋体" w:hAnsi="宋体" w:cs="宋体"/>
          <w:color w:val="000000"/>
          <w:sz w:val="24"/>
        </w:rPr>
        <w:t>质保期自双方验收通过之日起计算。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如果设备要求使用特别接头、插座等，由投标人提供。另外，所投设备的用电保护超过一般线路保护，保护设备也由投标人提供，投标人应将与此有关的费用计入设备价格费中，不得另外收取任何费用。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（2）安装调试</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必须立足于招标方现场基础设施及应用系统现状，对招标需求深入研究的基础上，制定详细的系统技术方案和实施方案，并在投标书中加以体现。中标人应在施工前提供详细的施工实施方案，并提交采购人认可。</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(3）验收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设备到货后，招标人与中标人共同配合有关部门对所有设备进行开箱检查，出现损坏、数量不全或产品不对等问题时，由中标人负责解决。</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设备系统集成后，由中标人制定测试方案并经招标人确认后，对产品的性能和配置进行测试检查，并形成测试报告。</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测试过程中出现设备产品性能指标或功能上不符合标书要求时，招标人有拒收的权利。</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测试过程中出现不符合标书和合同要求的严重质量问题时，招标人保留索赔权利。</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3、服务要求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保修期自双方代表在验收单上签字之日起计算。保修期内，中标人负责联系产品厂家对其提供的设备、软件进行现场维修，不收取额外费用。如因主机的损坏、配件的损坏、接口的损坏等原因引起的质量问题，要求原厂商提供更换设备或免费维护的服务。</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质保期内，采购人遇有重大活动时，中标人在采购人规定时间内指派专业技术人员到达现场实施保障服务，以确保招标人特殊时期工作不发生中断。</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4、售后服务和故障响应</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投标人提供详细的售后服务方案，售后服务承诺、售后服务方案、售后服务制度、售后服务标准、售后服务工程师名单和联系方式等。</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设备在质保期内发生软、硬件故障，投标人应及时予以响应，免费上门服务。否则招标方将自行采取必要的措施，由此产生风险和费用应由投标人承担。所投所有设备或软件按各产品要求提供相应原厂免费质保服务，质保期从验收合格签字之日开始计算，投标人同时提供不低于三年的免费技术支持服务，包含软硬件故障处理，坏件更换，不计次数的现场服务等。</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保修期内，设备发生故障，成交供应商应在60分钟内响应,4小时到达用户现场，并保证7*24小时远程技术支持。投标人须明确硬件设备出现故障时，应免费在6小时内用同等的品牌规格的部件更换到位。否则招标人将自行采取必要的措施，由此产生风险和费用从投标人质保金扣除。</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六、付款时间和条件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所有设备到达现场，初验合格后支付合同总价的50%；安装调试完毕验收合格后支付合同总价的45%；余款在质保期结束后付清。以上付款均不计利息。</w:t>
      </w:r>
    </w:p>
    <w:p>
      <w:pPr>
        <w:adjustRightInd w:val="0"/>
        <w:snapToGrid w:val="0"/>
        <w:spacing w:line="360" w:lineRule="auto"/>
        <w:ind w:firstLine="555"/>
        <w:contextualSpacing/>
        <w:rPr>
          <w:rFonts w:ascii="宋体" w:hAnsi="宋体"/>
          <w:b/>
          <w:sz w:val="24"/>
        </w:rPr>
      </w:pPr>
      <w:r>
        <w:rPr>
          <w:rFonts w:hint="eastAsia" w:ascii="宋体" w:hAnsi="宋体"/>
          <w:b/>
          <w:sz w:val="24"/>
        </w:rPr>
        <w:t>七、工期</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2019年12月31日前供货到指定位置并完成设备安装、调试并具备验收条件。</w:t>
      </w:r>
    </w:p>
    <w:p>
      <w:pPr>
        <w:numPr>
          <w:ilvl w:val="0"/>
          <w:numId w:val="13"/>
        </w:numPr>
        <w:spacing w:line="360" w:lineRule="auto"/>
        <w:ind w:firstLine="482" w:firstLineChars="200"/>
        <w:rPr>
          <w:rFonts w:ascii="宋体" w:hAnsi="宋体"/>
          <w:b/>
          <w:color w:val="000000"/>
          <w:sz w:val="24"/>
        </w:rPr>
      </w:pPr>
      <w:r>
        <w:rPr>
          <w:rFonts w:hint="eastAsia" w:ascii="宋体" w:hAnsi="宋体"/>
          <w:b/>
          <w:color w:val="000000"/>
          <w:sz w:val="24"/>
        </w:rPr>
        <w:t>质保期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质保期三年，自双方验收通过之日起计算。</w:t>
      </w:r>
    </w:p>
    <w:p>
      <w:pPr>
        <w:pStyle w:val="17"/>
        <w:shd w:val="clear" w:color="auto" w:fill="FFFFFF"/>
        <w:spacing w:beforeAutospacing="0" w:afterAutospacing="0" w:line="420" w:lineRule="exact"/>
        <w:rPr>
          <w:b/>
          <w:kern w:val="2"/>
        </w:rPr>
      </w:pPr>
      <w:r>
        <w:rPr>
          <w:rFonts w:hint="eastAsia"/>
          <w:b/>
          <w:kern w:val="2"/>
        </w:rPr>
        <w:t xml:space="preserve">   九、违约责任</w:t>
      </w:r>
    </w:p>
    <w:p>
      <w:pPr>
        <w:pStyle w:val="17"/>
        <w:shd w:val="clear" w:color="auto" w:fill="FFFFFF"/>
        <w:spacing w:beforeAutospacing="0" w:afterAutospacing="0" w:line="360" w:lineRule="auto"/>
        <w:rPr>
          <w:color w:val="000000"/>
          <w:kern w:val="2"/>
        </w:rPr>
      </w:pPr>
      <w:r>
        <w:rPr>
          <w:rFonts w:hint="eastAsia"/>
          <w:color w:val="000000"/>
          <w:kern w:val="2"/>
        </w:rPr>
        <w:t xml:space="preserve">  1、成交供应商不能按期完成设备安装及调试工作，或设备安装调试工作不合格从而影响采购人按期正常使用的，应向采购人偿付合同总价款10 %的违约金，且履约保证金不予退还。违约金不足以补偿损失的，采购人有权要求成交供应商补足。</w:t>
      </w:r>
    </w:p>
    <w:p>
      <w:pPr>
        <w:pStyle w:val="17"/>
        <w:shd w:val="clear" w:color="auto" w:fill="FFFFFF"/>
        <w:spacing w:beforeAutospacing="0" w:afterAutospacing="0" w:line="360" w:lineRule="auto"/>
        <w:rPr>
          <w:rFonts w:hint="eastAsia"/>
        </w:rPr>
      </w:pPr>
      <w:r>
        <w:rPr>
          <w:rFonts w:hint="eastAsia"/>
          <w:color w:val="000000"/>
          <w:kern w:val="2"/>
        </w:rPr>
        <w:t xml:space="preserve">   2、成交供应商逾期完成的，按照逾期交货部分货款的每天5%支付逾期交货违约金，同时承担采购人因此遭致的损失费用。逾期超过五天，采购人有权终止合同，并按上条进行违约处罚。</w:t>
      </w:r>
    </w:p>
    <w:p>
      <w:pPr>
        <w:pStyle w:val="3"/>
        <w:spacing w:before="0" w:after="0" w:line="240" w:lineRule="auto"/>
        <w:jc w:val="center"/>
        <w:rPr>
          <w:rFonts w:hint="eastAsia" w:ascii="宋体" w:hAnsi="宋体" w:eastAsia="宋体" w:cs="宋体"/>
          <w:sz w:val="32"/>
          <w:szCs w:val="32"/>
          <w:lang w:val="zh-CN"/>
        </w:rPr>
      </w:pPr>
      <w:r>
        <w:rPr>
          <w:rFonts w:ascii="宋体" w:hAnsi="宋体" w:cs="宋体"/>
          <w:b/>
          <w:sz w:val="24"/>
          <w:szCs w:val="24"/>
          <w:highlight w:val="none"/>
        </w:rPr>
        <w:br w:type="page"/>
      </w:r>
      <w:r>
        <w:rPr>
          <w:rFonts w:hint="eastAsia" w:ascii="宋体" w:hAnsi="宋体" w:eastAsia="宋体" w:cs="宋体"/>
          <w:sz w:val="32"/>
          <w:szCs w:val="32"/>
          <w:lang w:val="zh-CN"/>
        </w:rPr>
        <w:t>第四章  竞争性谈判程序和内容</w:t>
      </w:r>
      <w:bookmarkEnd w:id="33"/>
    </w:p>
    <w:p>
      <w:pPr>
        <w:snapToGrid w:val="0"/>
        <w:spacing w:line="52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一、采购代理机构组织谈判</w:t>
      </w:r>
    </w:p>
    <w:p>
      <w:pPr>
        <w:snapToGrid w:val="0"/>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bCs/>
          <w:kern w:val="0"/>
          <w:sz w:val="21"/>
          <w:szCs w:val="21"/>
          <w:lang w:eastAsia="zh-CN"/>
        </w:rPr>
        <w:t>（一）</w:t>
      </w:r>
      <w:r>
        <w:rPr>
          <w:rFonts w:hint="eastAsia" w:ascii="宋体" w:hAnsi="宋体" w:eastAsia="宋体" w:cs="宋体"/>
          <w:color w:val="000000"/>
          <w:sz w:val="21"/>
          <w:szCs w:val="21"/>
        </w:rPr>
        <w:t>、成立竞争性谈判小组，由采购人代表和有关专家依法组成。竞争性谈判小组构成共3人；评标专家确定方式：在专家库中抽取。</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color w:val="000000"/>
          <w:sz w:val="21"/>
          <w:szCs w:val="21"/>
        </w:rPr>
        <w:t>、竞争性谈判小组的职责：</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color w:val="000000"/>
          <w:sz w:val="21"/>
          <w:szCs w:val="21"/>
        </w:rPr>
        <w:t>审查谈判供应商的响应文件并作出评价；要求谈判供应商解释或者澄清其响应文件；编写评审报告；告知采购单位、采购代理机构在评审过程中发现的谈判供应商的违法违规行为。</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color w:val="000000"/>
          <w:sz w:val="21"/>
          <w:szCs w:val="21"/>
        </w:rPr>
        <w:t>、竞争性谈判小组成员的义务：</w:t>
      </w:r>
    </w:p>
    <w:p>
      <w:pPr>
        <w:pStyle w:val="33"/>
        <w:snapToGrid w:val="0"/>
        <w:spacing w:line="440" w:lineRule="exact"/>
        <w:ind w:firstLine="420" w:firstLineChars="200"/>
        <w:contextualSpacing/>
        <w:rPr>
          <w:rFonts w:hint="eastAsia" w:ascii="宋体" w:hAnsi="宋体" w:eastAsia="宋体" w:cs="宋体"/>
          <w:color w:val="000000"/>
          <w:sz w:val="21"/>
          <w:szCs w:val="21"/>
        </w:rPr>
      </w:pPr>
      <w:r>
        <w:rPr>
          <w:rFonts w:hint="eastAsia" w:ascii="宋体" w:hAnsi="宋体" w:eastAsia="宋体" w:cs="宋体"/>
          <w:color w:val="000000"/>
          <w:sz w:val="21"/>
          <w:szCs w:val="21"/>
        </w:rPr>
        <w:t>遵纪守法，客观、公正、廉洁地履行职责；根据采购文件的规定独立进行评审，对个人的评审意见承担法律责任；参与评审报告的起草；配合采购单位、采购代理机构答复谈判供应商提出的质疑；配合财政部门的投诉处理和监督检查工作。</w:t>
      </w:r>
    </w:p>
    <w:p>
      <w:pPr>
        <w:snapToGrid w:val="0"/>
        <w:spacing w:line="520" w:lineRule="exact"/>
        <w:rPr>
          <w:rFonts w:hint="eastAsia" w:ascii="宋体" w:hAnsi="宋体" w:eastAsia="宋体" w:cs="宋体"/>
          <w:color w:val="000000"/>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（四）</w:t>
      </w:r>
      <w:r>
        <w:rPr>
          <w:rFonts w:hint="eastAsia" w:ascii="宋体" w:hAnsi="宋体" w:eastAsia="宋体" w:cs="宋体"/>
          <w:color w:val="000000"/>
          <w:sz w:val="21"/>
          <w:szCs w:val="21"/>
        </w:rPr>
        <w:t>、评审有关记录由谈判小组成员签名，存档备查。</w:t>
      </w:r>
    </w:p>
    <w:p>
      <w:pPr>
        <w:snapToGrid w:val="0"/>
        <w:spacing w:line="520" w:lineRule="exact"/>
        <w:rPr>
          <w:rFonts w:hint="eastAsia" w:ascii="宋体" w:hAnsi="宋体" w:eastAsia="宋体" w:cs="宋体"/>
          <w:color w:val="000000"/>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（五）</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谈判供应商</w:t>
      </w:r>
      <w:r>
        <w:rPr>
          <w:rFonts w:hint="eastAsia" w:ascii="宋体" w:hAnsi="宋体" w:eastAsia="宋体" w:cs="宋体"/>
          <w:color w:val="000000"/>
          <w:sz w:val="21"/>
          <w:szCs w:val="21"/>
        </w:rPr>
        <w:t>的</w:t>
      </w:r>
      <w:r>
        <w:rPr>
          <w:rFonts w:hint="eastAsia" w:ascii="宋体" w:hAnsi="宋体" w:eastAsia="宋体" w:cs="宋体"/>
          <w:color w:val="000000"/>
          <w:sz w:val="21"/>
          <w:szCs w:val="21"/>
          <w:lang w:eastAsia="zh-CN"/>
        </w:rPr>
        <w:t>法定代表人</w:t>
      </w:r>
      <w:r>
        <w:rPr>
          <w:rFonts w:hint="eastAsia" w:ascii="宋体" w:hAnsi="宋体" w:eastAsia="宋体" w:cs="宋体"/>
          <w:color w:val="000000"/>
          <w:sz w:val="21"/>
          <w:szCs w:val="21"/>
        </w:rPr>
        <w:t>或被授权人须持身份证准时参加谈判评审会。</w:t>
      </w:r>
    </w:p>
    <w:p>
      <w:pPr>
        <w:snapToGrid w:val="0"/>
        <w:spacing w:line="52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二、评审原则</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sz w:val="21"/>
          <w:szCs w:val="21"/>
        </w:rPr>
        <w:t>、评审基本原则：谈判小组依据《中华人民共和国政府采购法》《政府采购非招标采购方式管理办法》以及有关政府采购的相关法规，遵循“公开、公平、公正、择优、信用”的原则进行谈判及评审。</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sz w:val="21"/>
          <w:szCs w:val="21"/>
        </w:rPr>
        <w:t xml:space="preserve">、谈判小组将按照规定只对通过资格审查合格的谈判响应文件进行评审。  </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、谈判小组根据谈判文件规定的程序、评定成交的标准等事项与实质性响应谈判文件要求的谈判供应商进行谈判。未实质性响应谈判文件的响应文件按无效处理，谈判小组应当告知有关谈判供应商。</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四</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、谈判小组所有成员应当集中与单一谈判供应商分别进行谈判，并给予所有参加谈判的谈判供应商平等的谈判机会。</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五</w:t>
      </w:r>
      <w:r>
        <w:rPr>
          <w:rFonts w:hint="eastAsia" w:ascii="宋体" w:hAnsi="宋体" w:eastAsia="宋体" w:cs="宋体"/>
          <w:bCs/>
          <w:kern w:val="0"/>
          <w:sz w:val="21"/>
          <w:szCs w:val="21"/>
          <w:lang w:eastAsia="zh-CN"/>
        </w:rPr>
        <w:t>）</w:t>
      </w:r>
      <w:r>
        <w:rPr>
          <w:rFonts w:hint="eastAsia" w:ascii="宋体" w:hAnsi="宋体" w:eastAsia="宋体" w:cs="宋体"/>
          <w:sz w:val="21"/>
          <w:szCs w:val="21"/>
        </w:rPr>
        <w:t>、在谈判过程中，谈判小组可以根据谈判文件和谈判情况实质性变动采购需求中的技术、服务要求以及合同草案条款，但不得变动谈判文件中的其他内容。实质性变动的内容，须经采购人代表确认。</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六</w:t>
      </w:r>
      <w:r>
        <w:rPr>
          <w:rFonts w:hint="eastAsia" w:ascii="宋体" w:hAnsi="宋体" w:eastAsia="宋体" w:cs="宋体"/>
          <w:bCs/>
          <w:kern w:val="0"/>
          <w:sz w:val="21"/>
          <w:szCs w:val="21"/>
          <w:lang w:eastAsia="zh-CN"/>
        </w:rPr>
        <w:t>）</w:t>
      </w:r>
      <w:r>
        <w:rPr>
          <w:rFonts w:hint="eastAsia" w:ascii="宋体" w:hAnsi="宋体" w:eastAsia="宋体" w:cs="宋体"/>
          <w:sz w:val="21"/>
          <w:szCs w:val="21"/>
        </w:rPr>
        <w:t>、对谈判文件作出的实质性变动是谈判文件的有效组成部分，谈判小组应当及时以书面形式同时通知所有参加谈判的谈判供应商。</w:t>
      </w:r>
    </w:p>
    <w:p>
      <w:pPr>
        <w:snapToGrid w:val="0"/>
        <w:spacing w:line="520" w:lineRule="exact"/>
        <w:ind w:firstLine="42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七</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、谈判供应商应当按照谈判文件的变动情况和谈判小组的要求重新提交响应文件，并由其</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或被授权人签字或盖章或者加盖公章。由被授权人签字的，应当附</w:t>
      </w:r>
      <w:r>
        <w:rPr>
          <w:rFonts w:hint="eastAsia" w:ascii="宋体" w:hAnsi="宋体" w:eastAsia="宋体" w:cs="宋体"/>
          <w:sz w:val="21"/>
          <w:szCs w:val="21"/>
          <w:lang w:eastAsia="zh-CN"/>
        </w:rPr>
        <w:t>法定代表人</w:t>
      </w:r>
      <w:r>
        <w:rPr>
          <w:rFonts w:hint="eastAsia" w:ascii="宋体" w:hAnsi="宋体" w:eastAsia="宋体" w:cs="宋体"/>
          <w:sz w:val="21"/>
          <w:szCs w:val="21"/>
        </w:rPr>
        <w:t>授权书。</w:t>
      </w:r>
      <w:r>
        <w:rPr>
          <w:rFonts w:hint="eastAsia" w:ascii="宋体" w:hAnsi="宋体" w:eastAsia="宋体" w:cs="宋体"/>
          <w:bCs/>
          <w:kern w:val="0"/>
          <w:sz w:val="21"/>
          <w:szCs w:val="21"/>
          <w:lang w:val="en-US" w:eastAsia="zh-CN"/>
        </w:rPr>
        <w:t xml:space="preserve">       </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八</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、谈判文件能够详细列明采购标的的技术、服务要求的，谈判结束后，谈判小组应当要求所有继续参加谈判的谈判供应商在规定时间内提交最后报价。</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九</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、报价原则上</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次，且最终报价是谈判响应文件的有效组成部分。</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十</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、除非在谈判中谈判小组对用户需求内容作了调整增加，或对采购内容作了实质性变更，否则采购人不接受高于谈判供应商自己前一轮报价的二轮报价。</w:t>
      </w:r>
    </w:p>
    <w:p>
      <w:pPr>
        <w:snapToGrid w:val="0"/>
        <w:spacing w:line="520" w:lineRule="exact"/>
        <w:rPr>
          <w:rFonts w:hint="eastAsia" w:ascii="宋体" w:hAnsi="宋体" w:eastAsia="宋体" w:cs="宋体"/>
          <w:sz w:val="21"/>
          <w:szCs w:val="21"/>
          <w:highlight w:val="none"/>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w:t>
      </w:r>
      <w:r>
        <w:rPr>
          <w:rFonts w:hint="eastAsia" w:ascii="宋体" w:eastAsia="宋体" w:cs="宋体"/>
          <w:bCs/>
          <w:kern w:val="0"/>
          <w:sz w:val="21"/>
          <w:szCs w:val="21"/>
          <w:highlight w:val="none"/>
          <w:lang w:eastAsia="zh-CN"/>
        </w:rPr>
        <w:t>十一</w:t>
      </w:r>
      <w:r>
        <w:rPr>
          <w:rFonts w:hint="eastAsia" w:ascii="宋体" w:hAnsi="宋体" w:eastAsia="宋体" w:cs="宋体"/>
          <w:bCs/>
          <w:kern w:val="0"/>
          <w:sz w:val="21"/>
          <w:szCs w:val="21"/>
          <w:highlight w:val="none"/>
          <w:lang w:eastAsia="zh-CN"/>
        </w:rPr>
        <w:t>）</w:t>
      </w:r>
      <w:r>
        <w:rPr>
          <w:rFonts w:hint="eastAsia" w:ascii="宋体" w:hAnsi="宋体" w:eastAsia="宋体" w:cs="宋体"/>
          <w:sz w:val="21"/>
          <w:szCs w:val="21"/>
          <w:highlight w:val="none"/>
        </w:rPr>
        <w:t>、已提交响应文件的</w:t>
      </w:r>
      <w:r>
        <w:rPr>
          <w:rFonts w:hint="eastAsia" w:ascii="宋体" w:hAnsi="宋体" w:eastAsia="宋体" w:cs="宋体"/>
          <w:sz w:val="21"/>
          <w:szCs w:val="21"/>
          <w:highlight w:val="none"/>
          <w:lang w:eastAsia="zh-CN"/>
        </w:rPr>
        <w:t>谈判供应商</w:t>
      </w:r>
      <w:r>
        <w:rPr>
          <w:rFonts w:hint="eastAsia" w:ascii="宋体" w:hAnsi="宋体" w:eastAsia="宋体" w:cs="宋体"/>
          <w:sz w:val="21"/>
          <w:szCs w:val="21"/>
          <w:highlight w:val="none"/>
        </w:rPr>
        <w:t>，在提交最终报价之前，可以根据谈判情况退出谈判。</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十二</w:t>
      </w:r>
      <w:r>
        <w:rPr>
          <w:rFonts w:hint="eastAsia" w:ascii="宋体" w:hAnsi="宋体" w:eastAsia="宋体" w:cs="宋体"/>
          <w:bCs/>
          <w:kern w:val="0"/>
          <w:sz w:val="21"/>
          <w:szCs w:val="21"/>
          <w:lang w:eastAsia="zh-CN"/>
        </w:rPr>
        <w:t>）</w:t>
      </w:r>
      <w:r>
        <w:rPr>
          <w:rFonts w:hint="eastAsia" w:ascii="宋体" w:hAnsi="宋体" w:eastAsia="宋体" w:cs="宋体"/>
          <w:sz w:val="21"/>
          <w:szCs w:val="21"/>
        </w:rPr>
        <w:t>、在评审过程中，谈判小组发现</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的报价明显低于其他</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的报价，使得其报价可能低于其个别成本的，谈判小组有权要求该</w:t>
      </w:r>
      <w:r>
        <w:rPr>
          <w:rFonts w:hint="eastAsia" w:ascii="宋体" w:hAnsi="宋体" w:eastAsia="宋体" w:cs="宋体"/>
          <w:sz w:val="21"/>
          <w:szCs w:val="21"/>
          <w:lang w:eastAsia="zh-CN"/>
        </w:rPr>
        <w:t>谈判供应商</w:t>
      </w:r>
      <w:r>
        <w:rPr>
          <w:rFonts w:hint="eastAsia" w:ascii="宋体" w:hAnsi="宋体" w:eastAsia="宋体" w:cs="宋体"/>
          <w:sz w:val="21"/>
          <w:szCs w:val="21"/>
        </w:rPr>
        <w:t>作出书面说明并提供相关证明材料，</w:t>
      </w:r>
      <w:r>
        <w:rPr>
          <w:rFonts w:hint="eastAsia" w:ascii="宋体" w:hAnsi="宋体" w:eastAsia="宋体" w:cs="宋体"/>
          <w:sz w:val="21"/>
          <w:szCs w:val="21"/>
          <w:lang w:eastAsia="zh-CN"/>
        </w:rPr>
        <w:t>谈判供应商</w:t>
      </w:r>
      <w:r>
        <w:rPr>
          <w:rFonts w:hint="eastAsia" w:ascii="宋体" w:hAnsi="宋体" w:eastAsia="宋体" w:cs="宋体"/>
          <w:sz w:val="21"/>
          <w:szCs w:val="21"/>
        </w:rPr>
        <w:t>不能合理说明或者不能提供相关证明材料的，由谈判小组认定该</w:t>
      </w:r>
      <w:r>
        <w:rPr>
          <w:rFonts w:hint="eastAsia" w:ascii="宋体" w:hAnsi="宋体" w:eastAsia="宋体" w:cs="宋体"/>
          <w:sz w:val="21"/>
          <w:szCs w:val="21"/>
          <w:lang w:eastAsia="zh-CN"/>
        </w:rPr>
        <w:t>谈判供应商</w:t>
      </w:r>
      <w:r>
        <w:rPr>
          <w:rFonts w:hint="eastAsia" w:ascii="宋体" w:hAnsi="宋体" w:eastAsia="宋体" w:cs="宋体"/>
          <w:sz w:val="21"/>
          <w:szCs w:val="21"/>
        </w:rPr>
        <w:t>以低于成本报价竞标，对被认定为低于成本报价竞标的谈判报价以无效报价处理。</w:t>
      </w:r>
    </w:p>
    <w:p>
      <w:pPr>
        <w:snapToGrid w:val="0"/>
        <w:spacing w:line="520" w:lineRule="exact"/>
        <w:ind w:firstLine="420"/>
        <w:rPr>
          <w:rFonts w:hint="eastAsia" w:ascii="宋体" w:hAnsi="宋体" w:eastAsia="宋体" w:cs="宋体"/>
          <w:sz w:val="21"/>
          <w:szCs w:val="21"/>
        </w:rPr>
      </w:pP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十</w:t>
      </w:r>
      <w:r>
        <w:rPr>
          <w:rFonts w:hint="eastAsia" w:ascii="宋体" w:eastAsia="宋体" w:cs="宋体"/>
          <w:bCs/>
          <w:kern w:val="0"/>
          <w:sz w:val="21"/>
          <w:szCs w:val="21"/>
          <w:lang w:val="en-US"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若符合要求的供应商只有两家，则由谈判小组集体讨论决定是否继续进行竞争性</w:t>
      </w:r>
      <w:r>
        <w:rPr>
          <w:rFonts w:hint="eastAsia" w:ascii="宋体" w:hAnsi="宋体" w:eastAsia="宋体" w:cs="宋体"/>
          <w:sz w:val="21"/>
          <w:szCs w:val="21"/>
          <w:lang w:val="en-US" w:eastAsia="zh-CN"/>
        </w:rPr>
        <w:t>谈判</w:t>
      </w:r>
      <w:r>
        <w:rPr>
          <w:rFonts w:hint="eastAsia" w:ascii="宋体" w:hAnsi="宋体" w:eastAsia="宋体" w:cs="宋体"/>
          <w:sz w:val="21"/>
          <w:szCs w:val="21"/>
        </w:rPr>
        <w:t>采购活动；若采购过程中符合要求的供应商只有一家，则终止本次竞争性</w:t>
      </w:r>
      <w:r>
        <w:rPr>
          <w:rFonts w:hint="eastAsia" w:ascii="宋体" w:hAnsi="宋体" w:eastAsia="宋体" w:cs="宋体"/>
          <w:sz w:val="21"/>
          <w:szCs w:val="21"/>
          <w:lang w:val="en-US" w:eastAsia="zh-CN"/>
        </w:rPr>
        <w:t>谈判</w:t>
      </w:r>
      <w:r>
        <w:rPr>
          <w:rFonts w:hint="eastAsia" w:ascii="宋体" w:hAnsi="宋体" w:eastAsia="宋体" w:cs="宋体"/>
          <w:sz w:val="21"/>
          <w:szCs w:val="21"/>
        </w:rPr>
        <w:t>采购活动，重新开展采购活动。</w:t>
      </w:r>
    </w:p>
    <w:p>
      <w:pPr>
        <w:snapToGrid w:val="0"/>
        <w:spacing w:line="520" w:lineRule="exact"/>
        <w:rPr>
          <w:rFonts w:hint="eastAsia" w:ascii="宋体" w:hAnsi="宋体" w:eastAsia="宋体" w:cs="宋体"/>
          <w:b/>
          <w:color w:val="000000"/>
          <w:sz w:val="28"/>
          <w:szCs w:val="28"/>
        </w:rPr>
      </w:pPr>
      <w:bookmarkStart w:id="37" w:name="_Toc446692071"/>
      <w:bookmarkStart w:id="38" w:name="_Toc446695413"/>
      <w:bookmarkStart w:id="39" w:name="_Toc444184753"/>
      <w:r>
        <w:rPr>
          <w:rFonts w:hint="eastAsia" w:ascii="宋体" w:hAnsi="宋体" w:eastAsia="宋体" w:cs="宋体"/>
          <w:b/>
          <w:color w:val="000000"/>
          <w:sz w:val="28"/>
          <w:szCs w:val="28"/>
        </w:rPr>
        <w:t>三、评定方法</w:t>
      </w:r>
      <w:bookmarkEnd w:id="37"/>
      <w:bookmarkEnd w:id="38"/>
      <w:bookmarkEnd w:id="39"/>
    </w:p>
    <w:p>
      <w:pPr>
        <w:snapToGrid w:val="0"/>
        <w:spacing w:line="500" w:lineRule="exact"/>
        <w:ind w:firstLine="420" w:firstLineChars="200"/>
        <w:rPr>
          <w:rFonts w:hint="eastAsia" w:ascii="宋体" w:hAnsi="宋体" w:eastAsia="宋体" w:cs="宋体"/>
          <w:color w:val="000000"/>
          <w:sz w:val="21"/>
          <w:szCs w:val="21"/>
          <w:u w:val="single"/>
        </w:rPr>
      </w:pPr>
      <w:r>
        <w:rPr>
          <w:rFonts w:hint="eastAsia" w:ascii="宋体" w:hAnsi="宋体" w:eastAsia="宋体" w:cs="宋体"/>
          <w:sz w:val="21"/>
          <w:szCs w:val="21"/>
          <w:u w:val="single"/>
        </w:rPr>
        <w:t>依据《中华人民共和国政府采购法》，“符合采购需求、质量和服务相等且报价最低的原则”，竞争性谈判小组针对在全部满足竞争性谈判文件实质性要求并提交最终报价的谈判供应商中，本着“公平、公正、诚信”的原则，以“符合采购需求为前提，质量和服务相等为条件”，</w:t>
      </w:r>
      <w:r>
        <w:rPr>
          <w:rFonts w:hint="eastAsia" w:ascii="宋体" w:hAnsi="宋体" w:eastAsia="宋体" w:cs="宋体"/>
          <w:b/>
          <w:sz w:val="22"/>
          <w:szCs w:val="22"/>
          <w:u w:val="single"/>
        </w:rPr>
        <w:t>最终报价最低的</w:t>
      </w:r>
      <w:r>
        <w:rPr>
          <w:rFonts w:hint="eastAsia" w:ascii="宋体" w:hAnsi="宋体" w:eastAsia="宋体" w:cs="宋体"/>
          <w:b/>
          <w:sz w:val="22"/>
          <w:szCs w:val="22"/>
          <w:u w:val="single"/>
          <w:lang w:eastAsia="zh-CN"/>
        </w:rPr>
        <w:t>谈判供应商</w:t>
      </w:r>
      <w:r>
        <w:rPr>
          <w:rFonts w:hint="eastAsia" w:ascii="宋体" w:hAnsi="宋体" w:eastAsia="宋体" w:cs="宋体"/>
          <w:b/>
          <w:sz w:val="22"/>
          <w:szCs w:val="22"/>
          <w:u w:val="single"/>
        </w:rPr>
        <w:t>确定为最终的成交谈判供应商</w:t>
      </w:r>
      <w:r>
        <w:rPr>
          <w:rFonts w:hint="eastAsia" w:ascii="宋体" w:hAnsi="宋体" w:eastAsia="宋体" w:cs="宋体"/>
          <w:sz w:val="21"/>
          <w:szCs w:val="21"/>
          <w:u w:val="single"/>
        </w:rPr>
        <w:t>，并编写评审报告。</w:t>
      </w:r>
      <w:r>
        <w:rPr>
          <w:rFonts w:hint="eastAsia" w:ascii="宋体" w:hAnsi="宋体" w:eastAsia="宋体" w:cs="宋体"/>
          <w:color w:val="000000"/>
          <w:sz w:val="21"/>
          <w:szCs w:val="21"/>
          <w:u w:val="single"/>
        </w:rPr>
        <w:t>报价如有相同者，抽签确定成交谈判供应商。抽签道具为扑克牌，在监管人员监督下，采购人根据报价相同的谈判供应商数量准备好同等数量且数值不同的牌，并宣布抽到点数最小的牌即为成交谈判供应商。抽签代表为本项目谈判响应文件中注明的</w:t>
      </w:r>
      <w:r>
        <w:rPr>
          <w:rFonts w:hint="eastAsia" w:ascii="宋体" w:hAnsi="宋体" w:eastAsia="宋体" w:cs="宋体"/>
          <w:color w:val="000000"/>
          <w:sz w:val="21"/>
          <w:szCs w:val="21"/>
          <w:u w:val="single"/>
          <w:lang w:eastAsia="zh-CN"/>
        </w:rPr>
        <w:t>法定代表人</w:t>
      </w:r>
      <w:r>
        <w:rPr>
          <w:rFonts w:hint="eastAsia" w:ascii="宋体" w:hAnsi="宋体" w:eastAsia="宋体" w:cs="宋体"/>
          <w:color w:val="000000"/>
          <w:sz w:val="21"/>
          <w:szCs w:val="21"/>
          <w:u w:val="single"/>
        </w:rPr>
        <w:t>或被授权人，抽签顺序为谈判供应商递交谈判响应文件登记的先后顺序。</w:t>
      </w:r>
    </w:p>
    <w:p>
      <w:pPr>
        <w:snapToGrid w:val="0"/>
        <w:spacing w:line="520" w:lineRule="exact"/>
        <w:rPr>
          <w:rFonts w:hint="eastAsia" w:ascii="宋体" w:hAnsi="宋体" w:eastAsia="宋体" w:cs="宋体"/>
          <w:b/>
          <w:color w:val="000000"/>
          <w:sz w:val="28"/>
          <w:szCs w:val="28"/>
        </w:rPr>
      </w:pPr>
      <w:bookmarkStart w:id="40" w:name="_Toc446692072"/>
      <w:bookmarkStart w:id="41" w:name="_Toc444184754"/>
      <w:bookmarkStart w:id="42" w:name="_Toc446695414"/>
      <w:r>
        <w:rPr>
          <w:rFonts w:hint="eastAsia" w:ascii="宋体" w:hAnsi="宋体" w:eastAsia="宋体" w:cs="宋体"/>
          <w:b/>
          <w:color w:val="000000"/>
          <w:sz w:val="28"/>
          <w:szCs w:val="28"/>
        </w:rPr>
        <w:t>四、评审步骤</w:t>
      </w:r>
      <w:bookmarkEnd w:id="40"/>
      <w:bookmarkEnd w:id="41"/>
      <w:bookmarkEnd w:id="42"/>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、评审步骤规定：</w:t>
      </w:r>
    </w:p>
    <w:p>
      <w:pPr>
        <w:snapToGrid w:val="0"/>
        <w:spacing w:line="520" w:lineRule="exact"/>
        <w:ind w:firstLine="420" w:firstLineChars="2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第一阶段：谈判小组对每个谈判供应商的谈判资格进行审查。</w:t>
      </w:r>
    </w:p>
    <w:p>
      <w:pPr>
        <w:snapToGrid w:val="0"/>
        <w:spacing w:line="520" w:lineRule="exact"/>
        <w:ind w:firstLine="420" w:firstLineChars="2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第二阶段：谈判小组对每个符合资格要求的谈判供应商的谈判响应文件进行审查。主要检查谈判响应文件提交的内容是否齐全、签署是否合格、是否满足谈判文件的要求、是否能证明有能力承担本项目的任务、是否按谈判文件的要求作出了相应的承诺等。</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第三阶段：技术响应完全满足谈判文件要求的</w:t>
      </w:r>
      <w:r>
        <w:rPr>
          <w:rFonts w:hint="eastAsia" w:ascii="宋体" w:hAnsi="宋体" w:eastAsia="宋体" w:cs="宋体"/>
          <w:sz w:val="21"/>
          <w:szCs w:val="21"/>
          <w:lang w:eastAsia="zh-CN"/>
        </w:rPr>
        <w:t>谈判供应商</w:t>
      </w:r>
      <w:r>
        <w:rPr>
          <w:rFonts w:hint="eastAsia" w:ascii="宋体" w:hAnsi="宋体" w:eastAsia="宋体" w:cs="宋体"/>
          <w:sz w:val="21"/>
          <w:szCs w:val="21"/>
        </w:rPr>
        <w:t>，以其商务报价谈判响应文件内的谈判报价（即首次报价）为基础，竞争性谈判小组集中与符合项目需求技术要求的</w:t>
      </w:r>
      <w:r>
        <w:rPr>
          <w:rFonts w:hint="eastAsia" w:ascii="宋体" w:hAnsi="宋体" w:eastAsia="宋体" w:cs="宋体"/>
          <w:sz w:val="21"/>
          <w:szCs w:val="21"/>
          <w:lang w:eastAsia="zh-CN"/>
        </w:rPr>
        <w:t>谈判供应商</w:t>
      </w:r>
      <w:r>
        <w:rPr>
          <w:rFonts w:hint="eastAsia" w:ascii="宋体" w:hAnsi="宋体" w:eastAsia="宋体" w:cs="宋体"/>
          <w:sz w:val="21"/>
          <w:szCs w:val="21"/>
        </w:rPr>
        <w:t>单一分别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竞争性谈判小组应当以书面形式通知所有</w:t>
      </w:r>
      <w:r>
        <w:rPr>
          <w:rFonts w:hint="eastAsia" w:ascii="宋体" w:hAnsi="宋体" w:eastAsia="宋体" w:cs="宋体"/>
          <w:sz w:val="21"/>
          <w:szCs w:val="21"/>
          <w:lang w:eastAsia="zh-CN"/>
        </w:rPr>
        <w:t>谈判供应商</w:t>
      </w:r>
      <w:r>
        <w:rPr>
          <w:rFonts w:hint="eastAsia" w:ascii="宋体" w:hAnsi="宋体" w:eastAsia="宋体" w:cs="宋体"/>
          <w:sz w:val="21"/>
          <w:szCs w:val="21"/>
        </w:rPr>
        <w:t>。</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第四阶段：单一分别谈判结</w:t>
      </w:r>
      <w:r>
        <w:rPr>
          <w:rFonts w:hint="eastAsia" w:ascii="宋体" w:hAnsi="宋体" w:eastAsia="宋体" w:cs="宋体"/>
          <w:sz w:val="21"/>
          <w:szCs w:val="21"/>
          <w:highlight w:val="none"/>
        </w:rPr>
        <w:t>束后，竞争性谈判小组告知所有</w:t>
      </w:r>
      <w:r>
        <w:rPr>
          <w:rFonts w:hint="eastAsia" w:ascii="宋体" w:hAnsi="宋体" w:eastAsia="宋体" w:cs="宋体"/>
          <w:sz w:val="21"/>
          <w:szCs w:val="21"/>
          <w:highlight w:val="none"/>
          <w:lang w:eastAsia="zh-CN"/>
        </w:rPr>
        <w:t>谈判供应商</w:t>
      </w:r>
      <w:r>
        <w:rPr>
          <w:rFonts w:hint="eastAsia" w:ascii="宋体" w:hAnsi="宋体" w:eastAsia="宋体" w:cs="宋体"/>
          <w:sz w:val="21"/>
          <w:szCs w:val="21"/>
          <w:highlight w:val="none"/>
        </w:rPr>
        <w:t>的项目二次报价，并要求所有作出实质性响应的有效</w:t>
      </w:r>
      <w:r>
        <w:rPr>
          <w:rFonts w:hint="eastAsia" w:ascii="宋体" w:hAnsi="宋体" w:eastAsia="宋体" w:cs="宋体"/>
          <w:sz w:val="21"/>
          <w:szCs w:val="21"/>
          <w:highlight w:val="none"/>
          <w:lang w:eastAsia="zh-CN"/>
        </w:rPr>
        <w:t>谈判供应商</w:t>
      </w:r>
      <w:r>
        <w:rPr>
          <w:rFonts w:hint="eastAsia" w:ascii="宋体" w:hAnsi="宋体" w:eastAsia="宋体" w:cs="宋体"/>
          <w:sz w:val="21"/>
          <w:szCs w:val="21"/>
          <w:highlight w:val="none"/>
        </w:rPr>
        <w:t>在规定的时间内，在谈判现场集体给出最终报价，同时最</w:t>
      </w:r>
      <w:r>
        <w:rPr>
          <w:rFonts w:hint="eastAsia" w:ascii="宋体" w:hAnsi="宋体" w:eastAsia="宋体" w:cs="宋体"/>
          <w:sz w:val="21"/>
          <w:szCs w:val="21"/>
        </w:rPr>
        <w:t>终报价中可包括但不限于如最终澄清方案、有关优惠承诺等。</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第五阶段：竞争性谈判小组对</w:t>
      </w:r>
      <w:r>
        <w:rPr>
          <w:rFonts w:hint="eastAsia" w:ascii="宋体" w:hAnsi="宋体" w:eastAsia="宋体" w:cs="宋体"/>
          <w:sz w:val="21"/>
          <w:szCs w:val="21"/>
          <w:lang w:eastAsia="zh-CN"/>
        </w:rPr>
        <w:t>谈判供应商</w:t>
      </w:r>
      <w:r>
        <w:rPr>
          <w:rFonts w:hint="eastAsia" w:ascii="宋体" w:hAnsi="宋体" w:eastAsia="宋体" w:cs="宋体"/>
          <w:sz w:val="21"/>
          <w:szCs w:val="21"/>
        </w:rPr>
        <w:t>的最终报价进行评议和比较，在实质性响应谈判文件，技术谈判响应文件和商务谈判报价部分都能满足谈判文件的前提下，竞争性谈判小组将校核后的各</w:t>
      </w:r>
      <w:r>
        <w:rPr>
          <w:rFonts w:hint="eastAsia" w:ascii="宋体" w:hAnsi="宋体" w:eastAsia="宋体" w:cs="宋体"/>
          <w:sz w:val="21"/>
          <w:szCs w:val="21"/>
          <w:lang w:eastAsia="zh-CN"/>
        </w:rPr>
        <w:t>谈判供应商</w:t>
      </w:r>
      <w:r>
        <w:rPr>
          <w:rFonts w:hint="eastAsia" w:ascii="宋体" w:hAnsi="宋体" w:eastAsia="宋体" w:cs="宋体"/>
          <w:sz w:val="21"/>
          <w:szCs w:val="21"/>
        </w:rPr>
        <w:t>的报价从低到高排序。最终报价最低的</w:t>
      </w:r>
      <w:r>
        <w:rPr>
          <w:rFonts w:hint="eastAsia" w:ascii="宋体" w:hAnsi="宋体" w:eastAsia="宋体" w:cs="宋体"/>
          <w:sz w:val="21"/>
          <w:szCs w:val="21"/>
          <w:lang w:eastAsia="zh-CN"/>
        </w:rPr>
        <w:t>谈判供应商</w:t>
      </w:r>
      <w:r>
        <w:rPr>
          <w:rFonts w:hint="eastAsia" w:ascii="宋体" w:hAnsi="宋体" w:eastAsia="宋体" w:cs="宋体"/>
          <w:sz w:val="21"/>
          <w:szCs w:val="21"/>
        </w:rPr>
        <w:t>确定为最终的成交谈判供应商</w:t>
      </w:r>
      <w:r>
        <w:rPr>
          <w:rFonts w:hint="eastAsia" w:ascii="宋体" w:hAnsi="宋体" w:eastAsia="宋体" w:cs="宋体"/>
          <w:sz w:val="21"/>
          <w:szCs w:val="21"/>
          <w:lang w:eastAsia="zh-CN"/>
        </w:rPr>
        <w:t>。</w:t>
      </w:r>
      <w:r>
        <w:rPr>
          <w:rFonts w:hint="eastAsia" w:ascii="宋体" w:hAnsi="宋体" w:eastAsia="宋体" w:cs="宋体"/>
          <w:sz w:val="21"/>
          <w:szCs w:val="21"/>
          <w:lang w:val="zh-CN"/>
        </w:rPr>
        <w:t>报价</w:t>
      </w:r>
      <w:r>
        <w:rPr>
          <w:rFonts w:hint="eastAsia" w:ascii="宋体" w:hAnsi="宋体" w:eastAsia="宋体" w:cs="宋体"/>
          <w:kern w:val="0"/>
          <w:sz w:val="21"/>
          <w:szCs w:val="21"/>
          <w:lang w:val="zh-CN"/>
        </w:rPr>
        <w:t>如有相同者，抽签确定成交谈判供应商。抽签道具为扑克牌，在监管人员监督下，采购人根据报价相同的谈判供应商数量准备好同等数量且数值不同的牌，并宣布抽到点数最小的牌即为成交谈判供应商。抽签代表为本项目谈判响应文件中注明的法定代表人或被授权人，抽签顺序为谈判供应商递交谈判响应文件登记的先后顺序。</w:t>
      </w:r>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sz w:val="21"/>
          <w:szCs w:val="21"/>
        </w:rPr>
        <w:t>、在谈判过程中，</w:t>
      </w:r>
      <w:r>
        <w:rPr>
          <w:rFonts w:hint="eastAsia" w:ascii="宋体" w:hAnsi="宋体" w:eastAsia="宋体" w:cs="宋体"/>
          <w:sz w:val="21"/>
          <w:szCs w:val="21"/>
          <w:lang w:eastAsia="zh-CN"/>
        </w:rPr>
        <w:t>谈判供应商</w:t>
      </w:r>
      <w:r>
        <w:rPr>
          <w:rFonts w:hint="eastAsia" w:ascii="宋体" w:hAnsi="宋体" w:eastAsia="宋体" w:cs="宋体"/>
          <w:sz w:val="21"/>
          <w:szCs w:val="21"/>
        </w:rPr>
        <w:t>提交的澄清文件和最终报价文件，由</w:t>
      </w:r>
      <w:r>
        <w:rPr>
          <w:rFonts w:hint="eastAsia" w:ascii="宋体" w:hAnsi="宋体" w:eastAsia="宋体" w:cs="宋体"/>
          <w:sz w:val="21"/>
          <w:szCs w:val="21"/>
          <w:lang w:eastAsia="zh-CN"/>
        </w:rPr>
        <w:t>谈判供应商</w:t>
      </w:r>
      <w:r>
        <w:rPr>
          <w:rFonts w:hint="eastAsia" w:ascii="宋体" w:hAnsi="宋体" w:eastAsia="宋体" w:cs="宋体"/>
          <w:kern w:val="0"/>
          <w:sz w:val="21"/>
          <w:szCs w:val="21"/>
          <w:lang w:val="zh-CN"/>
        </w:rPr>
        <w:t>法定代表人或被授权人签署后生效，谈判供应商受其约束。</w:t>
      </w:r>
    </w:p>
    <w:p>
      <w:pPr>
        <w:snapToGrid w:val="0"/>
        <w:spacing w:line="520" w:lineRule="exact"/>
        <w:rPr>
          <w:rFonts w:hint="eastAsia" w:ascii="宋体" w:hAnsi="宋体" w:eastAsia="宋体" w:cs="宋体"/>
          <w:b/>
          <w:color w:val="000000"/>
          <w:sz w:val="28"/>
          <w:szCs w:val="28"/>
          <w:lang w:val="zh-CN"/>
        </w:rPr>
      </w:pPr>
      <w:bookmarkStart w:id="43" w:name="_Toc182848996"/>
      <w:r>
        <w:rPr>
          <w:rFonts w:hint="eastAsia" w:ascii="宋体" w:hAnsi="宋体" w:eastAsia="宋体" w:cs="宋体"/>
          <w:b/>
          <w:color w:val="000000"/>
          <w:sz w:val="28"/>
          <w:szCs w:val="28"/>
          <w:lang w:val="zh-CN"/>
        </w:rPr>
        <w:t>五、出现下列情形之一的，作无效投标处理</w:t>
      </w:r>
    </w:p>
    <w:p>
      <w:pPr>
        <w:snapToGrid w:val="0"/>
        <w:spacing w:line="500" w:lineRule="exact"/>
        <w:rPr>
          <w:rFonts w:hint="eastAsia" w:ascii="宋体" w:hAnsi="宋体" w:eastAsia="宋体" w:cs="宋体"/>
          <w:kern w:val="0"/>
          <w:sz w:val="21"/>
          <w:szCs w:val="21"/>
          <w:lang w:val="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一</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、未按时交纳谈判保证金或金额不足的；</w:t>
      </w:r>
    </w:p>
    <w:p>
      <w:pPr>
        <w:snapToGrid w:val="0"/>
        <w:spacing w:line="50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二</w:t>
      </w:r>
      <w:r>
        <w:rPr>
          <w:rFonts w:hint="eastAsia" w:ascii="宋体" w:hAnsi="宋体" w:eastAsia="宋体" w:cs="宋体"/>
          <w:bCs/>
          <w:kern w:val="0"/>
          <w:sz w:val="21"/>
          <w:szCs w:val="21"/>
          <w:lang w:eastAsia="zh-CN"/>
        </w:rPr>
        <w:t>）</w:t>
      </w:r>
      <w:r>
        <w:rPr>
          <w:rFonts w:hint="eastAsia" w:ascii="宋体" w:hAnsi="宋体" w:eastAsia="宋体" w:cs="宋体"/>
          <w:kern w:val="0"/>
          <w:sz w:val="21"/>
          <w:szCs w:val="21"/>
          <w:lang w:val="zh-CN"/>
        </w:rPr>
        <w:t>、谈判响应文件未按规定要求装订、密封、签署、</w:t>
      </w:r>
      <w:r>
        <w:rPr>
          <w:rFonts w:hint="eastAsia" w:ascii="宋体" w:hAnsi="宋体" w:eastAsia="宋体" w:cs="宋体"/>
          <w:sz w:val="21"/>
          <w:szCs w:val="21"/>
        </w:rPr>
        <w:t>盖章及主要资料不齐全的；</w:t>
      </w:r>
    </w:p>
    <w:p>
      <w:pPr>
        <w:snapToGrid w:val="0"/>
        <w:spacing w:line="520" w:lineRule="exact"/>
        <w:rPr>
          <w:rFonts w:hint="eastAsia" w:ascii="宋体" w:hAnsi="宋体" w:eastAsia="宋体" w:cs="宋体"/>
          <w:sz w:val="21"/>
          <w:szCs w:val="21"/>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w:t>
      </w:r>
      <w:r>
        <w:rPr>
          <w:rFonts w:hint="eastAsia" w:ascii="宋体" w:eastAsia="宋体" w:cs="宋体"/>
          <w:bCs/>
          <w:kern w:val="0"/>
          <w:sz w:val="21"/>
          <w:szCs w:val="21"/>
          <w:lang w:eastAsia="zh-CN"/>
        </w:rPr>
        <w:t>三</w:t>
      </w:r>
      <w:r>
        <w:rPr>
          <w:rFonts w:hint="eastAsia" w:ascii="宋体" w:hAnsi="宋体" w:eastAsia="宋体" w:cs="宋体"/>
          <w:bCs/>
          <w:kern w:val="0"/>
          <w:sz w:val="21"/>
          <w:szCs w:val="21"/>
          <w:lang w:eastAsia="zh-CN"/>
        </w:rPr>
        <w:t>）</w:t>
      </w:r>
      <w:r>
        <w:rPr>
          <w:rFonts w:hint="eastAsia" w:ascii="宋体" w:hAnsi="宋体" w:eastAsia="宋体" w:cs="宋体"/>
          <w:sz w:val="21"/>
          <w:szCs w:val="21"/>
        </w:rPr>
        <w:t>、谈判响应文件的资料有虚报或者谎报的；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（四）、谈判响应文件资格及技术部分出现谈判价格的内容；</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（五）、不具备谈判文件规定的资格要求的；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（六）、谈判响应文件有重大漏项或重大不合理的；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（七）、项目技术、方案不满足用户需求中的要求，有重大偏离或保留的；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 xml:space="preserve">（八）、谈判响应报价超出项目预算的； </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（九）、被认定为低于成本报价竞标的；</w:t>
      </w:r>
    </w:p>
    <w:p>
      <w:pPr>
        <w:snapToGrid w:val="0"/>
        <w:spacing w:line="520" w:lineRule="exact"/>
        <w:rPr>
          <w:rFonts w:hint="eastAsia" w:ascii="宋体" w:hAnsi="宋体" w:eastAsia="宋体" w:cs="宋体"/>
          <w:bCs/>
          <w:kern w:val="0"/>
          <w:sz w:val="21"/>
          <w:szCs w:val="21"/>
          <w:highlight w:val="none"/>
          <w:lang w:eastAsia="zh-CN"/>
        </w:rPr>
      </w:pP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lang w:eastAsia="zh-CN"/>
        </w:rPr>
        <w:t>（十）、谈判供应商二轮报价高于自己前一轮报价的。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（十一）、不符合法律、法规和谈判文件中规定的其他实质性响应要求的；</w:t>
      </w:r>
    </w:p>
    <w:p>
      <w:pPr>
        <w:snapToGrid w:val="0"/>
        <w:spacing w:line="520" w:lineRule="exact"/>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（十二）、竞争性谈判小组可以认定为其他构成谈判未实质性响应谈判文件要求的。</w:t>
      </w:r>
    </w:p>
    <w:p>
      <w:pPr>
        <w:snapToGrid w:val="0"/>
        <w:spacing w:line="520" w:lineRule="exact"/>
        <w:rPr>
          <w:rFonts w:hint="eastAsia" w:ascii="宋体" w:hAnsi="宋体" w:eastAsia="宋体" w:cs="宋体"/>
          <w:sz w:val="21"/>
          <w:szCs w:val="21"/>
        </w:rPr>
      </w:pPr>
      <w:r>
        <w:rPr>
          <w:rFonts w:hint="eastAsia" w:ascii="宋体" w:hAnsi="宋体" w:eastAsia="宋体" w:cs="宋体"/>
          <w:b/>
          <w:bCs/>
          <w:sz w:val="28"/>
          <w:szCs w:val="28"/>
          <w:lang w:val="zh-CN"/>
        </w:rPr>
        <w:t>六、出现下列情形之一的，作废标处理</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w:t>
      </w:r>
      <w:r>
        <w:rPr>
          <w:rFonts w:hint="eastAsia" w:ascii="宋体" w:hAnsi="宋体" w:eastAsia="宋体" w:cs="宋体"/>
          <w:bCs/>
          <w:kern w:val="0"/>
          <w:sz w:val="21"/>
          <w:szCs w:val="21"/>
          <w:lang w:eastAsia="zh-CN"/>
        </w:rPr>
        <w:t>（一）</w:t>
      </w:r>
      <w:r>
        <w:rPr>
          <w:rFonts w:hint="eastAsia" w:ascii="宋体" w:hAnsi="宋体" w:eastAsia="宋体" w:cs="宋体"/>
          <w:sz w:val="21"/>
          <w:szCs w:val="21"/>
        </w:rPr>
        <w:t>、</w:t>
      </w:r>
      <w:bookmarkEnd w:id="43"/>
      <w:r>
        <w:rPr>
          <w:rFonts w:hint="eastAsia" w:ascii="宋体" w:hAnsi="宋体" w:eastAsia="宋体" w:cs="宋体"/>
          <w:bCs/>
          <w:kern w:val="0"/>
          <w:sz w:val="21"/>
          <w:szCs w:val="21"/>
          <w:lang w:val="en-US" w:eastAsia="zh-CN"/>
        </w:rPr>
        <w:t>谈判供应商的报价均超出了采购预算，采购人不能支付的；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（二）、因情况变化，不再符合规定的竞争性谈判采购方式适用情形的；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（三）、出现影响采购公正的违法、违规行为的；</w:t>
      </w:r>
    </w:p>
    <w:p>
      <w:pPr>
        <w:snapToGrid w:val="0"/>
        <w:spacing w:line="520" w:lineRule="exact"/>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  （四）、因重大变故，采购任务取消的。</w:t>
      </w:r>
    </w:p>
    <w:p>
      <w:pPr>
        <w:snapToGrid w:val="0"/>
        <w:spacing w:line="520" w:lineRule="exact"/>
        <w:ind w:firstLine="573"/>
        <w:rPr>
          <w:rFonts w:hint="eastAsia" w:ascii="宋体" w:hAnsi="宋体" w:eastAsia="宋体" w:cs="宋体"/>
          <w:sz w:val="21"/>
          <w:szCs w:val="21"/>
        </w:rPr>
      </w:pPr>
      <w:r>
        <w:rPr>
          <w:rFonts w:hint="eastAsia" w:ascii="宋体" w:hAnsi="宋体" w:eastAsia="宋体" w:cs="宋体"/>
          <w:sz w:val="21"/>
          <w:szCs w:val="21"/>
        </w:rPr>
        <w:t>上述均保留竞争性谈判小组认定可以确定为无效投标或废标的其他情况。</w:t>
      </w:r>
    </w:p>
    <w:p>
      <w:pPr>
        <w:snapToGrid w:val="0"/>
        <w:spacing w:line="520" w:lineRule="exact"/>
        <w:rPr>
          <w:rFonts w:hint="eastAsia" w:ascii="宋体" w:hAnsi="宋体" w:eastAsia="宋体" w:cs="宋体"/>
          <w:b/>
          <w:bCs/>
          <w:sz w:val="28"/>
          <w:szCs w:val="28"/>
          <w:lang w:val="zh-CN"/>
        </w:rPr>
      </w:pPr>
      <w:r>
        <w:rPr>
          <w:rFonts w:hint="eastAsia" w:ascii="宋体" w:hAnsi="宋体" w:eastAsia="宋体" w:cs="宋体"/>
          <w:b/>
          <w:bCs/>
          <w:sz w:val="28"/>
          <w:szCs w:val="28"/>
          <w:lang w:val="zh-CN"/>
        </w:rPr>
        <w:t>七、成交通知</w:t>
      </w:r>
    </w:p>
    <w:p>
      <w:pPr>
        <w:snapToGrid w:val="0"/>
        <w:spacing w:line="520" w:lineRule="exact"/>
        <w:ind w:firstLine="573"/>
        <w:rPr>
          <w:rFonts w:hint="eastAsia" w:ascii="宋体" w:hAnsi="宋体" w:eastAsia="宋体" w:cs="宋体"/>
          <w:sz w:val="21"/>
          <w:szCs w:val="21"/>
        </w:rPr>
      </w:pPr>
      <w:r>
        <w:rPr>
          <w:rFonts w:hint="eastAsia" w:ascii="宋体" w:hAnsi="宋体" w:eastAsia="宋体" w:cs="宋体"/>
          <w:sz w:val="21"/>
          <w:szCs w:val="21"/>
        </w:rPr>
        <w:t>成交结果</w:t>
      </w:r>
      <w:r>
        <w:rPr>
          <w:rFonts w:hint="eastAsia" w:ascii="宋体" w:hAnsi="宋体" w:eastAsia="宋体" w:cs="宋体"/>
          <w:sz w:val="21"/>
          <w:szCs w:val="21"/>
          <w:highlight w:val="none"/>
        </w:rPr>
        <w:t>在</w:t>
      </w:r>
      <w:r>
        <w:rPr>
          <w:rFonts w:hint="eastAsia" w:ascii="宋体" w:hAnsi="宋体" w:cs="宋体"/>
          <w:sz w:val="21"/>
          <w:szCs w:val="21"/>
          <w:lang w:eastAsia="zh-CN"/>
        </w:rPr>
        <w:t>江苏省南通市人民检察院官网</w:t>
      </w:r>
      <w:r>
        <w:rPr>
          <w:rFonts w:hint="eastAsia" w:ascii="宋体" w:hAnsi="宋体" w:eastAsia="宋体" w:cs="宋体"/>
          <w:sz w:val="21"/>
          <w:szCs w:val="21"/>
          <w:highlight w:val="none"/>
        </w:rPr>
        <w:t>公示</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1</w:t>
      </w:r>
      <w:r>
        <w:rPr>
          <w:rFonts w:hint="eastAsia" w:ascii="宋体" w:hAnsi="宋体" w:eastAsia="宋体" w:cs="宋体"/>
          <w:sz w:val="21"/>
          <w:szCs w:val="21"/>
          <w:u w:val="single"/>
        </w:rPr>
        <w:t xml:space="preserve"> </w:t>
      </w:r>
      <w:r>
        <w:rPr>
          <w:rFonts w:hint="eastAsia" w:ascii="宋体" w:hAnsi="宋体" w:eastAsia="宋体" w:cs="宋体"/>
          <w:sz w:val="21"/>
          <w:szCs w:val="21"/>
        </w:rPr>
        <w:t>个工作日。《成交通知书》一经发出，采购单位改变成交结果，或者成交谈判供应商放弃成交的，各自承担相应的法律责任。《成交通知书》是采购合同的组成部分。</w:t>
      </w:r>
      <w:bookmarkStart w:id="44" w:name="OLE_LINK2"/>
      <w:bookmarkStart w:id="45" w:name="OLE_LINK1"/>
      <w:bookmarkStart w:id="46" w:name="_Toc446695415"/>
    </w:p>
    <w:p>
      <w:pPr>
        <w:pStyle w:val="34"/>
        <w:keepNext w:val="0"/>
        <w:keepLines w:val="0"/>
        <w:pageBreakBefore w:val="0"/>
        <w:kinsoku/>
        <w:wordWrap/>
        <w:overflowPunct/>
        <w:topLinePunct w:val="0"/>
        <w:autoSpaceDE/>
        <w:autoSpaceDN/>
        <w:bidi w:val="0"/>
        <w:adjustRightInd/>
        <w:snapToGrid/>
        <w:spacing w:line="360" w:lineRule="auto"/>
        <w:ind w:left="0" w:leftChars="0" w:right="0" w:rightChars="0" w:firstLine="210" w:firstLineChars="100"/>
        <w:jc w:val="center"/>
        <w:textAlignment w:val="auto"/>
        <w:outlineLvl w:val="9"/>
        <w:rPr>
          <w:rFonts w:hint="eastAsia" w:ascii="宋体" w:hAnsi="宋体" w:eastAsia="宋体" w:cs="宋体"/>
          <w:b/>
          <w:bCs/>
          <w:kern w:val="44"/>
          <w:sz w:val="32"/>
          <w:szCs w:val="32"/>
          <w:lang w:val="zh-CN"/>
        </w:rPr>
      </w:pPr>
      <w:r>
        <w:rPr>
          <w:rFonts w:hint="eastAsia" w:ascii="宋体" w:hAnsi="宋体" w:eastAsia="宋体" w:cs="宋体"/>
          <w:sz w:val="21"/>
          <w:szCs w:val="21"/>
        </w:rPr>
        <w:br w:type="page"/>
      </w:r>
      <w:bookmarkEnd w:id="44"/>
      <w:bookmarkEnd w:id="45"/>
      <w:bookmarkEnd w:id="46"/>
      <w:bookmarkStart w:id="47" w:name="_Toc446695416"/>
      <w:r>
        <w:rPr>
          <w:rFonts w:hint="eastAsia" w:ascii="宋体" w:hAnsi="宋体" w:eastAsia="宋体" w:cs="宋体"/>
          <w:b/>
          <w:bCs/>
          <w:kern w:val="44"/>
          <w:sz w:val="32"/>
          <w:szCs w:val="32"/>
          <w:lang w:val="zh-CN"/>
        </w:rPr>
        <w:t>第</w:t>
      </w:r>
      <w:r>
        <w:rPr>
          <w:rFonts w:hint="eastAsia" w:ascii="宋体" w:hAnsi="宋体" w:cs="宋体"/>
          <w:b/>
          <w:bCs/>
          <w:kern w:val="44"/>
          <w:sz w:val="32"/>
          <w:szCs w:val="32"/>
          <w:lang w:val="en-US" w:eastAsia="zh-CN"/>
        </w:rPr>
        <w:t>五</w:t>
      </w:r>
      <w:r>
        <w:rPr>
          <w:rFonts w:hint="eastAsia" w:ascii="宋体" w:hAnsi="宋体" w:eastAsia="宋体" w:cs="宋体"/>
          <w:b/>
          <w:bCs/>
          <w:kern w:val="44"/>
          <w:sz w:val="32"/>
          <w:szCs w:val="32"/>
          <w:lang w:val="zh-CN"/>
        </w:rPr>
        <w:t>章  合同授予</w:t>
      </w:r>
    </w:p>
    <w:p>
      <w:pPr>
        <w:keepNext w:val="0"/>
        <w:keepLines w:val="0"/>
        <w:pageBreakBefore w:val="0"/>
        <w:widowControl/>
        <w:kinsoku/>
        <w:wordWrap/>
        <w:overflowPunct/>
        <w:topLinePunct w:val="0"/>
        <w:bidi w:val="0"/>
        <w:spacing w:line="360" w:lineRule="auto"/>
        <w:ind w:left="0" w:leftChars="0" w:right="0" w:rightChars="0"/>
        <w:jc w:val="left"/>
        <w:textAlignment w:val="auto"/>
        <w:rPr>
          <w:rFonts w:hint="eastAsia" w:ascii="宋体" w:hAnsi="宋体" w:eastAsia="宋体" w:cs="宋体"/>
          <w:sz w:val="21"/>
          <w:szCs w:val="21"/>
          <w:lang w:val="en-US" w:eastAsia="zh-CN"/>
        </w:rPr>
      </w:pPr>
    </w:p>
    <w:p>
      <w:pPr>
        <w:keepNext w:val="0"/>
        <w:keepLines w:val="0"/>
        <w:pageBreakBefore w:val="0"/>
        <w:widowControl/>
        <w:kinsoku/>
        <w:wordWrap/>
        <w:overflowPunct/>
        <w:topLinePunct w:val="0"/>
        <w:bidi w:val="0"/>
        <w:spacing w:line="360" w:lineRule="auto"/>
        <w:ind w:left="0"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一、成交谈判供应商和采购单位在接到《成交通知书》后</w:t>
      </w:r>
      <w:r>
        <w:rPr>
          <w:rFonts w:hint="eastAsia" w:ascii="宋体" w:hAnsi="宋体" w:cs="宋体"/>
          <w:sz w:val="21"/>
          <w:szCs w:val="21"/>
          <w:lang w:val="en-US" w:eastAsia="zh-CN"/>
        </w:rPr>
        <w:t>3</w:t>
      </w:r>
      <w:r>
        <w:rPr>
          <w:rFonts w:hint="eastAsia" w:ascii="宋体" w:hAnsi="宋体" w:eastAsia="宋体" w:cs="宋体"/>
          <w:sz w:val="21"/>
          <w:szCs w:val="21"/>
        </w:rPr>
        <w:t>个工作日内必须按照采购文件确定的事项签订合同。合同一式</w:t>
      </w:r>
      <w:r>
        <w:rPr>
          <w:rFonts w:hint="eastAsia" w:ascii="宋体" w:hAnsi="宋体" w:eastAsia="宋体" w:cs="宋体"/>
          <w:sz w:val="21"/>
          <w:szCs w:val="21"/>
          <w:lang w:val="en-US" w:eastAsia="zh-CN"/>
        </w:rPr>
        <w:t>六</w:t>
      </w:r>
      <w:r>
        <w:rPr>
          <w:rFonts w:hint="eastAsia" w:ascii="宋体" w:hAnsi="宋体" w:eastAsia="宋体" w:cs="宋体"/>
          <w:sz w:val="21"/>
          <w:szCs w:val="21"/>
        </w:rPr>
        <w:t>份，采购单位</w:t>
      </w:r>
      <w:r>
        <w:rPr>
          <w:rFonts w:hint="eastAsia" w:ascii="宋体" w:hAnsi="宋体" w:eastAsia="宋体" w:cs="宋体"/>
          <w:sz w:val="21"/>
          <w:szCs w:val="21"/>
          <w:lang w:val="en-US" w:eastAsia="zh-CN"/>
        </w:rPr>
        <w:t>四份</w:t>
      </w:r>
      <w:r>
        <w:rPr>
          <w:rFonts w:hint="eastAsia" w:ascii="宋体" w:hAnsi="宋体" w:eastAsia="宋体" w:cs="宋体"/>
          <w:sz w:val="21"/>
          <w:szCs w:val="21"/>
        </w:rPr>
        <w:t>、</w:t>
      </w:r>
      <w:r>
        <w:rPr>
          <w:rFonts w:hint="eastAsia" w:ascii="宋体" w:hAnsi="宋体" w:eastAsia="宋体" w:cs="宋体"/>
          <w:sz w:val="21"/>
          <w:szCs w:val="21"/>
          <w:lang w:eastAsia="zh-CN"/>
        </w:rPr>
        <w:t>成交</w:t>
      </w:r>
      <w:r>
        <w:rPr>
          <w:rFonts w:hint="eastAsia" w:ascii="宋体" w:hAnsi="宋体" w:eastAsia="宋体" w:cs="宋体"/>
          <w:sz w:val="21"/>
          <w:szCs w:val="21"/>
        </w:rPr>
        <w:t>供应商</w:t>
      </w:r>
      <w:r>
        <w:rPr>
          <w:rFonts w:hint="eastAsia" w:ascii="宋体" w:hAnsi="宋体" w:eastAsia="宋体" w:cs="宋体"/>
          <w:sz w:val="21"/>
          <w:szCs w:val="21"/>
          <w:lang w:eastAsia="zh-CN"/>
        </w:rPr>
        <w:t>两</w:t>
      </w:r>
      <w:r>
        <w:rPr>
          <w:rFonts w:hint="eastAsia" w:ascii="宋体" w:hAnsi="宋体" w:eastAsia="宋体" w:cs="宋体"/>
          <w:sz w:val="21"/>
          <w:szCs w:val="21"/>
        </w:rPr>
        <w:t>份，所签合同不得对采购文件作实质性修改。采购单位不得向成交谈判供应商提出不合理的要求作为签订合同的条件，不得与成交谈判供应商私下订立背离采购文件实质性内容的协议。</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采购单位按合同约定积极配合成交谈判供应商履约，成交谈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三、采购单位与成交谈判供应商串通或要求成交谈判供应商通过减少货物数量或降低服务标准的，在履行合同中采取更改配置、调换物品等手段的，要求成交谈判供应商出具虚假发票或任意更改销售发票的，谋取不正当利益的，承担相应的法律责任。</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四、成交谈判供应商出现违约情形，应当及时纠正或补偿；造成损失的，按合同约定追究违约责任；发现有假冒、伪劣、走私产品、商业贿赂等违法情形的，应由采购单位移交工商、质监、公安等行政执法部门依法查处。</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五、按采购合同约定支付的</w:t>
      </w:r>
      <w:r>
        <w:rPr>
          <w:rFonts w:hint="eastAsia" w:ascii="宋体" w:hAnsi="宋体" w:eastAsia="宋体" w:cs="宋体"/>
          <w:sz w:val="21"/>
          <w:szCs w:val="21"/>
          <w:lang w:val="en-US" w:eastAsia="zh-CN"/>
        </w:rPr>
        <w:t>合同款</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六、不响应付款方式的，视同响应文件无效，按无效响应文件处理。</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七、付款详见合同相关条款，以上项目款的支付不计息。 </w:t>
      </w:r>
    </w:p>
    <w:p>
      <w:pPr>
        <w:pStyle w:val="34"/>
        <w:keepNext w:val="0"/>
        <w:keepLines w:val="0"/>
        <w:pageBreakBefore w:val="0"/>
        <w:kinsoku/>
        <w:wordWrap/>
        <w:overflowPunct/>
        <w:topLinePunct w:val="0"/>
        <w:bidi w:val="0"/>
        <w:spacing w:line="360" w:lineRule="auto"/>
        <w:ind w:left="0" w:leftChars="0" w:right="0" w:rightChars="0"/>
        <w:jc w:val="center"/>
        <w:textAlignment w:val="auto"/>
        <w:outlineLvl w:val="0"/>
        <w:rPr>
          <w:rFonts w:hint="eastAsia" w:ascii="宋体" w:hAnsi="宋体" w:eastAsia="宋体" w:cs="宋体"/>
          <w:b/>
          <w:bCs/>
          <w:kern w:val="44"/>
          <w:sz w:val="32"/>
          <w:szCs w:val="32"/>
          <w:lang w:val="zh-CN" w:eastAsia="zh-CN" w:bidi="ar-SA"/>
        </w:rPr>
      </w:pPr>
      <w:bookmarkStart w:id="48" w:name="_Toc446695417"/>
      <w:r>
        <w:rPr>
          <w:rFonts w:hint="eastAsia" w:ascii="宋体" w:hAnsi="宋体" w:eastAsia="宋体" w:cs="宋体"/>
          <w:b/>
          <w:bCs/>
          <w:kern w:val="44"/>
          <w:sz w:val="32"/>
          <w:szCs w:val="32"/>
          <w:lang w:val="zh-CN" w:eastAsia="zh-CN" w:bidi="ar-SA"/>
        </w:rPr>
        <w:br w:type="page"/>
      </w:r>
      <w:r>
        <w:rPr>
          <w:rFonts w:hint="eastAsia" w:ascii="宋体" w:hAnsi="宋体" w:eastAsia="宋体" w:cs="宋体"/>
          <w:b/>
          <w:bCs/>
          <w:kern w:val="44"/>
          <w:sz w:val="32"/>
          <w:szCs w:val="32"/>
          <w:lang w:val="zh-CN" w:eastAsia="zh-CN" w:bidi="ar-SA"/>
        </w:rPr>
        <w:t>第</w:t>
      </w:r>
      <w:r>
        <w:rPr>
          <w:rFonts w:hint="eastAsia" w:ascii="宋体" w:hAnsi="宋体" w:cs="宋体"/>
          <w:b/>
          <w:bCs/>
          <w:kern w:val="44"/>
          <w:sz w:val="32"/>
          <w:szCs w:val="32"/>
          <w:lang w:val="en-US" w:eastAsia="zh-CN" w:bidi="ar-SA"/>
        </w:rPr>
        <w:t>六</w:t>
      </w:r>
      <w:r>
        <w:rPr>
          <w:rFonts w:hint="eastAsia" w:ascii="宋体" w:hAnsi="宋体" w:eastAsia="宋体" w:cs="宋体"/>
          <w:b/>
          <w:bCs/>
          <w:kern w:val="44"/>
          <w:sz w:val="32"/>
          <w:szCs w:val="32"/>
          <w:lang w:val="zh-CN" w:eastAsia="zh-CN" w:bidi="ar-SA"/>
        </w:rPr>
        <w:t>章 质疑提出和处理</w:t>
      </w:r>
      <w:bookmarkEnd w:id="47"/>
      <w:bookmarkEnd w:id="48"/>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sz w:val="21"/>
          <w:szCs w:val="21"/>
        </w:rPr>
      </w:pPr>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b/>
          <w:bCs/>
          <w:kern w:val="44"/>
          <w:sz w:val="21"/>
          <w:szCs w:val="21"/>
          <w:lang w:val="zh-CN" w:eastAsia="zh-CN" w:bidi="ar-SA"/>
        </w:rPr>
      </w:pPr>
      <w:r>
        <w:rPr>
          <w:rFonts w:hint="eastAsia" w:ascii="宋体" w:hAnsi="宋体" w:eastAsia="宋体" w:cs="宋体"/>
          <w:sz w:val="21"/>
          <w:szCs w:val="21"/>
        </w:rPr>
        <w:t>格式请在</w:t>
      </w:r>
      <w:r>
        <w:rPr>
          <w:rFonts w:hint="eastAsia" w:ascii="宋体" w:hAnsi="宋体" w:eastAsia="宋体" w:cs="宋体"/>
          <w:sz w:val="21"/>
          <w:szCs w:val="21"/>
          <w:lang w:val="en-US" w:eastAsia="zh-CN"/>
        </w:rPr>
        <w:t>南通市公共资源交易网</w:t>
      </w:r>
      <w:r>
        <w:rPr>
          <w:rFonts w:hint="eastAsia" w:ascii="宋体" w:hAnsi="宋体" w:eastAsia="宋体" w:cs="宋体"/>
          <w:sz w:val="21"/>
          <w:szCs w:val="21"/>
        </w:rPr>
        <w:t>“下载中心--有关质疑资料”下载</w:t>
      </w:r>
    </w:p>
    <w:p>
      <w:pPr>
        <w:pStyle w:val="34"/>
        <w:keepNext w:val="0"/>
        <w:keepLines w:val="0"/>
        <w:pageBreakBefore w:val="0"/>
        <w:numPr>
          <w:ilvl w:val="0"/>
          <w:numId w:val="14"/>
        </w:numPr>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质疑的提出</w:t>
      </w:r>
    </w:p>
    <w:p>
      <w:pPr>
        <w:pStyle w:val="34"/>
        <w:keepNext w:val="0"/>
        <w:keepLines w:val="0"/>
        <w:pageBreakBefore w:val="0"/>
        <w:numPr>
          <w:ilvl w:val="0"/>
          <w:numId w:val="0"/>
        </w:numPr>
        <w:kinsoku/>
        <w:wordWrap/>
        <w:overflowPunct/>
        <w:topLinePunct w:val="0"/>
        <w:bidi w:val="0"/>
        <w:spacing w:line="360" w:lineRule="auto"/>
        <w:ind w:right="0" w:rightChars="0"/>
        <w:jc w:val="both"/>
        <w:textAlignment w:val="auto"/>
        <w:outlineLvl w:val="0"/>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（一）、质疑人必须是直接参加本次竞谈活动的当事人。</w:t>
      </w:r>
    </w:p>
    <w:p>
      <w:pPr>
        <w:keepNext w:val="0"/>
        <w:keepLines w:val="0"/>
        <w:pageBreakBefore w:val="0"/>
        <w:kinsoku/>
        <w:wordWrap/>
        <w:overflowPunct/>
        <w:topLinePunct w:val="0"/>
        <w:bidi w:val="0"/>
        <w:snapToGrid w:val="0"/>
        <w:spacing w:line="360" w:lineRule="auto"/>
        <w:ind w:left="0" w:leftChars="0" w:right="0" w:rightChars="0" w:firstLine="420" w:firstLineChars="200"/>
        <w:textAlignment w:val="auto"/>
        <w:outlineLvl w:val="1"/>
        <w:rPr>
          <w:rFonts w:hint="eastAsia" w:ascii="宋体" w:hAnsi="宋体" w:eastAsia="宋体" w:cs="宋体"/>
          <w:sz w:val="21"/>
          <w:szCs w:val="21"/>
        </w:rPr>
      </w:pPr>
      <w:bookmarkStart w:id="49" w:name="_Toc446695418"/>
      <w:bookmarkStart w:id="50" w:name="_Toc444184757"/>
      <w:bookmarkStart w:id="51" w:name="_Toc446692074"/>
      <w:r>
        <w:rPr>
          <w:rFonts w:hint="eastAsia" w:ascii="宋体" w:hAnsi="宋体" w:eastAsia="宋体" w:cs="宋体"/>
          <w:kern w:val="0"/>
          <w:sz w:val="21"/>
          <w:szCs w:val="21"/>
          <w:lang w:val="zh-CN"/>
        </w:rPr>
        <w:t>（二）</w:t>
      </w:r>
      <w:r>
        <w:rPr>
          <w:rFonts w:hint="eastAsia" w:ascii="宋体" w:hAnsi="宋体" w:eastAsia="宋体" w:cs="宋体"/>
          <w:sz w:val="21"/>
          <w:szCs w:val="21"/>
        </w:rPr>
        <w:t>、下载谈</w:t>
      </w:r>
      <w:r>
        <w:rPr>
          <w:rFonts w:hint="eastAsia" w:ascii="宋体" w:hAnsi="宋体" w:eastAsia="宋体" w:cs="宋体"/>
          <w:kern w:val="0"/>
          <w:sz w:val="21"/>
          <w:szCs w:val="21"/>
          <w:lang w:val="zh-CN"/>
        </w:rPr>
        <w:t>判</w:t>
      </w:r>
      <w:r>
        <w:rPr>
          <w:rFonts w:hint="eastAsia" w:ascii="宋体" w:hAnsi="宋体" w:eastAsia="宋体" w:cs="宋体"/>
          <w:sz w:val="21"/>
          <w:szCs w:val="21"/>
        </w:rPr>
        <w:t>文件的谈判供应商应根据第二章“</w:t>
      </w:r>
      <w:r>
        <w:rPr>
          <w:rFonts w:hint="eastAsia" w:ascii="宋体" w:hAnsi="宋体" w:eastAsia="宋体" w:cs="宋体"/>
          <w:sz w:val="21"/>
          <w:szCs w:val="21"/>
          <w:lang w:eastAsia="zh-CN"/>
        </w:rPr>
        <w:t>谈判供应商</w:t>
      </w:r>
      <w:r>
        <w:rPr>
          <w:rFonts w:hint="eastAsia" w:ascii="宋体" w:hAnsi="宋体" w:eastAsia="宋体" w:cs="宋体"/>
          <w:sz w:val="21"/>
          <w:szCs w:val="21"/>
        </w:rPr>
        <w:t>须知”中“第一款”说明“第4条”的约定提出；响应文件接收截止后，谈判供应商未进行谈判登记的，不能就响应文件接收截止后的谈判过程、成交结果提出质疑；在谈判过程中，凡主持人或谈判小组明确提出须由谈判供应商确认的事项，谈判供应商当场无异议的，事后不得提出质疑。</w:t>
      </w:r>
      <w:bookmarkEnd w:id="49"/>
      <w:bookmarkEnd w:id="50"/>
      <w:r>
        <w:rPr>
          <w:rFonts w:hint="eastAsia" w:ascii="宋体" w:hAnsi="宋体" w:eastAsia="宋体" w:cs="宋体"/>
          <w:sz w:val="21"/>
          <w:szCs w:val="21"/>
        </w:rPr>
        <w:t xml:space="preserve">  </w:t>
      </w:r>
      <w:bookmarkEnd w:id="51"/>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20" w:firstLineChars="200"/>
        <w:contextualSpacing/>
        <w:textAlignment w:val="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三）、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kinsoku/>
        <w:wordWrap/>
        <w:overflowPunct/>
        <w:topLinePunct w:val="0"/>
        <w:bidi w:val="0"/>
        <w:snapToGrid w:val="0"/>
        <w:spacing w:line="360" w:lineRule="auto"/>
        <w:ind w:left="0" w:leftChars="0" w:right="0" w:rightChars="0" w:firstLine="420" w:firstLineChars="200"/>
        <w:contextualSpacing/>
        <w:textAlignment w:val="auto"/>
        <w:rPr>
          <w:rFonts w:hint="eastAsia" w:ascii="宋体" w:hAnsi="宋体" w:eastAsia="宋体" w:cs="宋体"/>
          <w:kern w:val="0"/>
          <w:sz w:val="21"/>
          <w:szCs w:val="21"/>
        </w:rPr>
      </w:pPr>
      <w:r>
        <w:rPr>
          <w:rFonts w:hint="eastAsia" w:ascii="宋体" w:hAnsi="宋体" w:eastAsia="宋体" w:cs="宋体"/>
          <w:kern w:val="0"/>
          <w:sz w:val="21"/>
          <w:szCs w:val="21"/>
          <w:lang w:val="zh-CN"/>
        </w:rPr>
        <w:t>（四）</w:t>
      </w:r>
      <w:r>
        <w:rPr>
          <w:rFonts w:hint="eastAsia" w:ascii="宋体" w:hAnsi="宋体" w:eastAsia="宋体" w:cs="宋体"/>
          <w:sz w:val="21"/>
          <w:szCs w:val="21"/>
        </w:rPr>
        <w:t>、对本次竞谈有质疑的，实行实名制，不得进行虚假、恶意质疑。质疑人应在质疑有效期内以书面形式</w:t>
      </w:r>
      <w:r>
        <w:rPr>
          <w:rFonts w:hint="eastAsia" w:ascii="宋体" w:hAnsi="宋体" w:eastAsia="宋体" w:cs="宋体"/>
          <w:kern w:val="0"/>
          <w:sz w:val="21"/>
          <w:szCs w:val="21"/>
          <w:lang w:val="zh-CN"/>
        </w:rPr>
        <w:t>提出《质疑函》（格式请在南通市政府采购网下载）</w:t>
      </w:r>
      <w:r>
        <w:rPr>
          <w:rFonts w:hint="eastAsia" w:ascii="宋体" w:hAnsi="宋体" w:eastAsia="宋体" w:cs="宋体"/>
          <w:sz w:val="21"/>
          <w:szCs w:val="21"/>
        </w:rPr>
        <w:t>，《质疑函》内容应</w:t>
      </w:r>
      <w:r>
        <w:rPr>
          <w:rFonts w:hint="eastAsia" w:ascii="宋体" w:hAnsi="宋体" w:eastAsia="宋体" w:cs="宋体"/>
          <w:kern w:val="0"/>
          <w:sz w:val="21"/>
          <w:szCs w:val="21"/>
          <w:lang w:val="zh-CN"/>
        </w:rPr>
        <w:t>包括</w:t>
      </w:r>
      <w:r>
        <w:rPr>
          <w:rFonts w:hint="eastAsia" w:ascii="宋体" w:hAnsi="宋体" w:eastAsia="宋体" w:cs="宋体"/>
          <w:sz w:val="21"/>
          <w:szCs w:val="21"/>
        </w:rPr>
        <w:t>质疑事项、主要内容、事实依据、适应法规条款、佐证材料等。同时，</w:t>
      </w:r>
      <w:r>
        <w:rPr>
          <w:rFonts w:hint="eastAsia" w:ascii="宋体" w:hAnsi="宋体" w:eastAsia="宋体" w:cs="宋体"/>
          <w:kern w:val="0"/>
          <w:sz w:val="21"/>
          <w:szCs w:val="21"/>
        </w:rPr>
        <w:t>质疑人应保证其提出的质疑内容及</w:t>
      </w:r>
      <w:r>
        <w:rPr>
          <w:rFonts w:hint="eastAsia" w:ascii="宋体" w:hAnsi="宋体" w:eastAsia="宋体" w:cs="宋体"/>
          <w:sz w:val="21"/>
          <w:szCs w:val="21"/>
        </w:rPr>
        <w:t>相关佐证材料</w:t>
      </w:r>
      <w:r>
        <w:rPr>
          <w:rFonts w:hint="eastAsia" w:ascii="宋体" w:hAnsi="宋体" w:eastAsia="宋体" w:cs="宋体"/>
          <w:kern w:val="0"/>
          <w:sz w:val="21"/>
          <w:szCs w:val="21"/>
        </w:rPr>
        <w:t>的真实性及来源的合法性，并承担相应的法律责任。</w:t>
      </w:r>
    </w:p>
    <w:p>
      <w:pPr>
        <w:snapToGrid w:val="0"/>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kern w:val="0"/>
          <w:sz w:val="21"/>
          <w:szCs w:val="21"/>
          <w:lang w:val="zh-CN"/>
        </w:rPr>
        <w:t>对不能提供</w:t>
      </w:r>
      <w:r>
        <w:rPr>
          <w:rFonts w:hint="eastAsia" w:ascii="宋体" w:hAnsi="宋体" w:eastAsia="宋体" w:cs="宋体"/>
          <w:sz w:val="21"/>
          <w:szCs w:val="21"/>
        </w:rPr>
        <w:t>相关佐证材料的、涉及商业秘密的、非书面形式的、非送达的、匿名的《质疑函》将不予受理。</w:t>
      </w:r>
    </w:p>
    <w:p>
      <w:pPr>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sz w:val="21"/>
          <w:szCs w:val="21"/>
        </w:rPr>
        <w:t>相关佐证材料要</w:t>
      </w:r>
      <w:r>
        <w:rPr>
          <w:rFonts w:hint="eastAsia" w:ascii="宋体" w:hAnsi="宋体" w:eastAsia="宋体" w:cs="宋体"/>
          <w:kern w:val="0"/>
          <w:sz w:val="21"/>
          <w:szCs w:val="21"/>
        </w:rPr>
        <w:t>具备客观性、关联性、合法性，无法查实的（如宣传册、媒体报道、猜测、推理等）不能作为佐证材料。</w:t>
      </w:r>
    </w:p>
    <w:p>
      <w:pPr>
        <w:snapToGrid w:val="0"/>
        <w:spacing w:line="360" w:lineRule="auto"/>
        <w:ind w:firstLine="422" w:firstLineChars="200"/>
        <w:contextualSpacing/>
        <w:rPr>
          <w:rFonts w:hint="eastAsia" w:ascii="宋体" w:hAnsi="宋体" w:eastAsia="宋体" w:cs="宋体"/>
          <w:b/>
          <w:kern w:val="0"/>
          <w:sz w:val="21"/>
          <w:szCs w:val="21"/>
        </w:rPr>
      </w:pPr>
      <w:r>
        <w:rPr>
          <w:rFonts w:hint="eastAsia" w:ascii="宋体" w:hAnsi="宋体" w:eastAsia="宋体" w:cs="宋体"/>
          <w:b/>
          <w:sz w:val="21"/>
          <w:szCs w:val="21"/>
        </w:rPr>
        <w:t>采购单位或采购代理机构</w:t>
      </w:r>
      <w:r>
        <w:rPr>
          <w:rFonts w:hint="eastAsia" w:ascii="宋体" w:hAnsi="宋体" w:eastAsia="宋体" w:cs="宋体"/>
          <w:b/>
          <w:kern w:val="0"/>
          <w:sz w:val="21"/>
          <w:szCs w:val="21"/>
        </w:rPr>
        <w:t>不负责搜集相关佐证材料等工作。</w:t>
      </w:r>
    </w:p>
    <w:p>
      <w:pPr>
        <w:pStyle w:val="35"/>
        <w:keepNext w:val="0"/>
        <w:keepLines w:val="0"/>
        <w:pageBreakBefore w:val="0"/>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rPr>
      </w:pPr>
      <w:r>
        <w:rPr>
          <w:rFonts w:hint="eastAsia" w:ascii="宋体" w:hAnsi="宋体" w:eastAsia="宋体" w:cs="宋体"/>
          <w:b/>
          <w:bCs/>
          <w:sz w:val="21"/>
          <w:szCs w:val="21"/>
        </w:rPr>
        <w:t>二、《质疑函》的受理和回复</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（一）</w:t>
      </w:r>
      <w:r>
        <w:rPr>
          <w:rFonts w:hint="eastAsia" w:ascii="宋体" w:hAnsi="宋体" w:eastAsia="宋体" w:cs="宋体"/>
          <w:sz w:val="21"/>
          <w:szCs w:val="21"/>
        </w:rPr>
        <w:t>、《质疑函》须由质疑人的法定代表人或参加本次谈判授权人</w:t>
      </w:r>
      <w:r>
        <w:rPr>
          <w:rFonts w:hint="eastAsia" w:ascii="宋体" w:hAnsi="宋体" w:eastAsia="宋体" w:cs="宋体"/>
          <w:kern w:val="0"/>
          <w:sz w:val="21"/>
          <w:szCs w:val="21"/>
          <w:lang w:val="zh-CN"/>
        </w:rPr>
        <w:t>送达采购单位和采购代理机构。</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二）、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（三）、对不符合提出质疑要求的，出具《质疑退回通知书》并提出相关补充材料要求，质疑人未在规定的时间内提供补充佐证材料的，视同放弃质疑。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kern w:val="0"/>
          <w:sz w:val="21"/>
          <w:szCs w:val="21"/>
          <w:lang w:val="zh-CN"/>
        </w:rPr>
        <w:t>（四）、采购单位、采购代理机构</w:t>
      </w:r>
      <w:r>
        <w:rPr>
          <w:rFonts w:hint="eastAsia" w:ascii="宋体" w:hAnsi="宋体" w:eastAsia="宋体" w:cs="宋体"/>
          <w:kern w:val="0"/>
          <w:sz w:val="21"/>
          <w:szCs w:val="21"/>
        </w:rPr>
        <w:t>负责将质疑人提出的质疑相关材料提供给相关专家或谈判小组审核，并将审核意见回复质疑人。</w:t>
      </w:r>
    </w:p>
    <w:p>
      <w:pPr>
        <w:widowControl/>
        <w:tabs>
          <w:tab w:val="left" w:pos="0"/>
        </w:tabs>
        <w:snapToGrid w:val="0"/>
        <w:spacing w:line="360" w:lineRule="auto"/>
        <w:ind w:firstLine="420" w:firstLineChars="200"/>
        <w:contextualSpacing/>
        <w:rPr>
          <w:rFonts w:hint="eastAsia" w:ascii="宋体" w:hAnsi="宋体" w:eastAsia="宋体" w:cs="宋体"/>
          <w:kern w:val="0"/>
          <w:sz w:val="21"/>
          <w:szCs w:val="21"/>
        </w:rPr>
      </w:pPr>
      <w:r>
        <w:rPr>
          <w:rFonts w:hint="eastAsia" w:ascii="宋体" w:hAnsi="宋体" w:eastAsia="宋体" w:cs="宋体"/>
          <w:sz w:val="21"/>
          <w:szCs w:val="21"/>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（五）</w:t>
      </w:r>
      <w:r>
        <w:rPr>
          <w:rFonts w:hint="eastAsia" w:ascii="宋体" w:hAnsi="宋体" w:eastAsia="宋体" w:cs="宋体"/>
          <w:kern w:val="0"/>
          <w:sz w:val="21"/>
          <w:szCs w:val="21"/>
        </w:rPr>
        <w:t>、</w:t>
      </w:r>
      <w:r>
        <w:rPr>
          <w:rFonts w:hint="eastAsia" w:ascii="宋体" w:hAnsi="宋体" w:eastAsia="宋体" w:cs="宋体"/>
          <w:kern w:val="0"/>
          <w:sz w:val="21"/>
          <w:szCs w:val="21"/>
          <w:lang w:val="zh-CN"/>
        </w:rPr>
        <w:t>因质疑情况复杂，组织论证或审查时间较长的，采购单位、采购代理机构以书面形式通知质疑人，可适当延长质疑回复处理时间。</w:t>
      </w:r>
    </w:p>
    <w:p>
      <w:pPr>
        <w:pStyle w:val="35"/>
        <w:keepNext w:val="0"/>
        <w:keepLines w:val="0"/>
        <w:pageBreakBefore w:val="0"/>
        <w:kinsoku/>
        <w:wordWrap/>
        <w:overflowPunct/>
        <w:topLinePunct w:val="0"/>
        <w:bidi w:val="0"/>
        <w:spacing w:line="360" w:lineRule="auto"/>
        <w:ind w:left="0" w:leftChars="0" w:right="0" w:rightChars="0"/>
        <w:jc w:val="both"/>
        <w:textAlignment w:val="auto"/>
        <w:outlineLvl w:val="0"/>
        <w:rPr>
          <w:rFonts w:hint="eastAsia" w:ascii="宋体" w:hAnsi="宋体" w:eastAsia="宋体" w:cs="宋体"/>
          <w:b/>
          <w:bCs/>
          <w:sz w:val="21"/>
          <w:szCs w:val="21"/>
          <w:lang w:val="zh-CN"/>
        </w:rPr>
      </w:pPr>
      <w:r>
        <w:rPr>
          <w:rFonts w:hint="eastAsia" w:ascii="宋体" w:hAnsi="宋体" w:eastAsia="宋体" w:cs="宋体"/>
          <w:b/>
          <w:bCs/>
          <w:sz w:val="21"/>
          <w:szCs w:val="21"/>
          <w:lang w:val="zh-CN"/>
        </w:rPr>
        <w:t>三、质疑处理</w:t>
      </w:r>
    </w:p>
    <w:p>
      <w:pPr>
        <w:autoSpaceDE w:val="0"/>
        <w:autoSpaceDN w:val="0"/>
        <w:adjustRightInd w:val="0"/>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（一）</w:t>
      </w:r>
      <w:r>
        <w:rPr>
          <w:rFonts w:hint="eastAsia" w:ascii="宋体" w:hAnsi="宋体" w:eastAsia="宋体" w:cs="宋体"/>
          <w:b/>
          <w:kern w:val="0"/>
          <w:sz w:val="21"/>
          <w:szCs w:val="21"/>
          <w:lang w:val="zh-CN"/>
        </w:rPr>
        <w:t>、质疑成立的处理。</w:t>
      </w:r>
      <w:r>
        <w:rPr>
          <w:rFonts w:hint="eastAsia" w:ascii="宋体" w:hAnsi="宋体" w:eastAsia="宋体" w:cs="宋体"/>
          <w:kern w:val="0"/>
          <w:sz w:val="21"/>
          <w:szCs w:val="21"/>
          <w:lang w:val="zh-CN"/>
        </w:rPr>
        <w:t>采购单位或采购代理机构终止采购，并建议有关部门给相关当事人予以处理。</w:t>
      </w:r>
    </w:p>
    <w:p>
      <w:pPr>
        <w:snapToGrid w:val="0"/>
        <w:spacing w:line="360" w:lineRule="auto"/>
        <w:contextualSpacing/>
        <w:rPr>
          <w:rFonts w:hint="eastAsia" w:ascii="宋体" w:hAnsi="宋体" w:eastAsia="宋体" w:cs="宋体"/>
          <w:b/>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（二）</w:t>
      </w:r>
      <w:r>
        <w:rPr>
          <w:rFonts w:hint="eastAsia" w:ascii="宋体" w:hAnsi="宋体" w:eastAsia="宋体" w:cs="宋体"/>
          <w:b/>
          <w:kern w:val="0"/>
          <w:sz w:val="21"/>
          <w:szCs w:val="21"/>
          <w:lang w:val="zh-CN"/>
        </w:rPr>
        <w:t>、质疑不成立的处理。</w:t>
      </w:r>
    </w:p>
    <w:p>
      <w:pPr>
        <w:snapToGrid w:val="0"/>
        <w:spacing w:line="360" w:lineRule="auto"/>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1、</w:t>
      </w:r>
      <w:r>
        <w:rPr>
          <w:rFonts w:hint="eastAsia" w:ascii="宋体" w:hAnsi="宋体" w:eastAsia="宋体" w:cs="宋体"/>
          <w:kern w:val="0"/>
          <w:sz w:val="21"/>
          <w:szCs w:val="21"/>
          <w:lang w:val="zh-CN"/>
        </w:rPr>
        <w:t>质疑人书面递交《申请撤回质疑函》的，不作违约处理。</w:t>
      </w:r>
    </w:p>
    <w:p>
      <w:pPr>
        <w:snapToGrid w:val="0"/>
        <w:spacing w:line="360" w:lineRule="auto"/>
        <w:ind w:firstLine="420" w:firstLineChars="200"/>
        <w:contextualSpacing/>
        <w:rPr>
          <w:rFonts w:hint="eastAsia" w:ascii="宋体" w:hAnsi="宋体" w:eastAsia="宋体" w:cs="宋体"/>
          <w:kern w:val="0"/>
          <w:sz w:val="21"/>
          <w:szCs w:val="21"/>
          <w:lang w:val="zh-CN"/>
        </w:rPr>
      </w:pPr>
      <w:r>
        <w:rPr>
          <w:rFonts w:hint="eastAsia" w:ascii="宋体" w:hAnsi="宋体" w:eastAsia="宋体" w:cs="宋体"/>
          <w:sz w:val="21"/>
          <w:szCs w:val="21"/>
          <w:lang w:val="en-US" w:eastAsia="zh-CN"/>
        </w:rPr>
        <w:t xml:space="preserve"> 2、</w:t>
      </w:r>
      <w:r>
        <w:rPr>
          <w:rFonts w:hint="eastAsia" w:ascii="宋体" w:hAnsi="宋体" w:eastAsia="宋体" w:cs="宋体"/>
          <w:sz w:val="21"/>
          <w:szCs w:val="21"/>
        </w:rPr>
        <w:t>质疑人在规定的时间内不配合进行质疑调查处理的，按自动撤回《质疑函》处理。</w:t>
      </w:r>
    </w:p>
    <w:p>
      <w:pPr>
        <w:snapToGrid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3、</w:t>
      </w:r>
      <w:r>
        <w:rPr>
          <w:rFonts w:hint="eastAsia" w:ascii="宋体" w:hAnsi="宋体" w:eastAsia="宋体" w:cs="宋体"/>
          <w:kern w:val="0"/>
          <w:sz w:val="21"/>
          <w:szCs w:val="21"/>
          <w:lang w:val="zh-CN"/>
        </w:rPr>
        <w:t>质疑人不按《质疑函》格式就提出质疑的，作违约处理。</w:t>
      </w:r>
      <w:r>
        <w:rPr>
          <w:rFonts w:hint="eastAsia" w:ascii="宋体" w:hAnsi="宋体" w:eastAsia="宋体" w:cs="宋体"/>
          <w:sz w:val="21"/>
          <w:szCs w:val="21"/>
        </w:rPr>
        <w:t>同时，视情</w:t>
      </w:r>
      <w:r>
        <w:rPr>
          <w:rFonts w:hint="eastAsia" w:ascii="宋体" w:hAnsi="宋体" w:eastAsia="宋体" w:cs="宋体"/>
          <w:kern w:val="0"/>
          <w:sz w:val="21"/>
          <w:szCs w:val="21"/>
          <w:lang w:val="zh-CN"/>
        </w:rPr>
        <w:t>列入不良谈判供应商名单。</w:t>
      </w:r>
    </w:p>
    <w:p>
      <w:pPr>
        <w:snapToGrid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4、</w:t>
      </w:r>
      <w:r>
        <w:rPr>
          <w:rFonts w:hint="eastAsia" w:ascii="宋体" w:hAnsi="宋体" w:eastAsia="宋体" w:cs="宋体"/>
          <w:kern w:val="0"/>
          <w:sz w:val="21"/>
          <w:szCs w:val="21"/>
          <w:lang w:val="zh-CN"/>
        </w:rPr>
        <w:t>质疑人虽提供了相关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，但不能证明其质疑成立的，采购单位或采购代理机构请质疑人补充相关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，仍不能证明其质疑成立的，作违约处理。并将其列入不良谈判供应商名单。</w:t>
      </w:r>
    </w:p>
    <w:p>
      <w:pPr>
        <w:snapToGrid w:val="0"/>
        <w:spacing w:line="360" w:lineRule="auto"/>
        <w:ind w:firstLine="555"/>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lang w:val="zh-CN"/>
        </w:rPr>
        <w:t>质疑人不能提供相关</w:t>
      </w:r>
      <w:r>
        <w:rPr>
          <w:rFonts w:hint="eastAsia" w:ascii="宋体" w:hAnsi="宋体" w:eastAsia="宋体" w:cs="宋体"/>
          <w:sz w:val="21"/>
          <w:szCs w:val="21"/>
        </w:rPr>
        <w:t>佐证材料</w:t>
      </w:r>
      <w:r>
        <w:rPr>
          <w:rFonts w:hint="eastAsia" w:ascii="宋体" w:hAnsi="宋体" w:eastAsia="宋体" w:cs="宋体"/>
          <w:kern w:val="0"/>
          <w:sz w:val="21"/>
          <w:szCs w:val="21"/>
          <w:lang w:val="zh-CN"/>
        </w:rPr>
        <w:t>的，采购单位、采购代理机构已指出，质疑人仍然坚持提出质疑的，作违约处理。</w:t>
      </w:r>
      <w:r>
        <w:rPr>
          <w:rFonts w:hint="eastAsia" w:ascii="宋体" w:hAnsi="宋体" w:eastAsia="宋体" w:cs="宋体"/>
          <w:sz w:val="21"/>
          <w:szCs w:val="21"/>
        </w:rPr>
        <w:t>同时，</w:t>
      </w:r>
      <w:r>
        <w:rPr>
          <w:rFonts w:hint="eastAsia" w:ascii="宋体" w:hAnsi="宋体" w:eastAsia="宋体" w:cs="宋体"/>
          <w:kern w:val="0"/>
          <w:sz w:val="21"/>
          <w:szCs w:val="21"/>
          <w:lang w:val="zh-CN"/>
        </w:rPr>
        <w:t>列入不良谈判供应商名单。</w:t>
      </w:r>
    </w:p>
    <w:p>
      <w:pPr>
        <w:snapToGrid w:val="0"/>
        <w:spacing w:line="360" w:lineRule="auto"/>
        <w:ind w:firstLine="555"/>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val="zh-CN"/>
        </w:rPr>
        <w:t>对明显有违事实的、经相关专家或谈判小组认定无依据的、经其他谈判供应商举证无依据的质疑，作违约处理，列入不良谈判供应商名单；</w:t>
      </w:r>
      <w:r>
        <w:rPr>
          <w:rFonts w:hint="eastAsia" w:ascii="宋体" w:hAnsi="宋体" w:eastAsia="宋体" w:cs="宋体"/>
          <w:sz w:val="21"/>
          <w:szCs w:val="21"/>
        </w:rPr>
        <w:t>同时，</w:t>
      </w:r>
      <w:r>
        <w:rPr>
          <w:rFonts w:hint="eastAsia" w:ascii="宋体" w:hAnsi="宋体" w:eastAsia="宋体" w:cs="宋体"/>
          <w:kern w:val="0"/>
          <w:sz w:val="21"/>
          <w:szCs w:val="21"/>
          <w:lang w:val="zh-CN"/>
        </w:rPr>
        <w:t>对其中每一项不成立的质疑给予质疑人1年内禁入本区域内的政府采购活动的违约处理，依次类推；视情在南通政府采购网、省、国家级相关媒体予以披露。</w:t>
      </w:r>
    </w:p>
    <w:p>
      <w:pPr>
        <w:snapToGrid w:val="0"/>
        <w:spacing w:line="360" w:lineRule="auto"/>
        <w:ind w:firstLine="403" w:firstLineChars="192"/>
        <w:contextualSpacing/>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 xml:space="preserve"> 7、</w:t>
      </w:r>
      <w:r>
        <w:rPr>
          <w:rFonts w:hint="eastAsia" w:ascii="宋体" w:hAnsi="宋体" w:eastAsia="宋体" w:cs="宋体"/>
          <w:sz w:val="21"/>
          <w:szCs w:val="21"/>
        </w:rPr>
        <w:t>质疑人</w:t>
      </w:r>
      <w:r>
        <w:rPr>
          <w:rFonts w:hint="eastAsia" w:ascii="宋体" w:hAnsi="宋体" w:eastAsia="宋体" w:cs="宋体"/>
          <w:kern w:val="0"/>
          <w:sz w:val="21"/>
          <w:szCs w:val="21"/>
          <w:lang w:val="zh-CN"/>
        </w:rPr>
        <w:t>承担使用虚假材料或恶意方式质疑的法律责任。</w:t>
      </w:r>
    </w:p>
    <w:p>
      <w:pPr>
        <w:autoSpaceDE w:val="0"/>
        <w:autoSpaceDN w:val="0"/>
        <w:adjustRightInd w:val="0"/>
        <w:snapToGrid w:val="0"/>
        <w:spacing w:line="360" w:lineRule="auto"/>
        <w:contextualSpacing/>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四、无佐证材料的举报作违约处理。</w:t>
      </w:r>
    </w:p>
    <w:p>
      <w:pPr>
        <w:autoSpaceDE w:val="0"/>
        <w:autoSpaceDN w:val="0"/>
        <w:adjustRightInd w:val="0"/>
        <w:snapToGrid w:val="0"/>
        <w:spacing w:line="360" w:lineRule="auto"/>
        <w:contextualSpacing/>
        <w:rPr>
          <w:rFonts w:hint="eastAsia" w:ascii="宋体" w:hAnsi="宋体" w:eastAsia="宋体" w:cs="宋体"/>
          <w:b/>
          <w:kern w:val="0"/>
          <w:sz w:val="21"/>
          <w:szCs w:val="21"/>
          <w:lang w:val="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val="zh-CN"/>
        </w:rPr>
        <w:t>谈判供应商不得进行不提供相关佐证材料（含无法查实的</w:t>
      </w:r>
      <w:r>
        <w:rPr>
          <w:rFonts w:hint="eastAsia" w:ascii="宋体" w:hAnsi="宋体" w:eastAsia="宋体" w:cs="宋体"/>
          <w:sz w:val="21"/>
          <w:szCs w:val="21"/>
        </w:rPr>
        <w:t>如宣传册、媒体报道、猜测、推理等）</w:t>
      </w:r>
      <w:r>
        <w:rPr>
          <w:rFonts w:hint="eastAsia" w:ascii="宋体" w:hAnsi="宋体" w:eastAsia="宋体" w:cs="宋体"/>
          <w:kern w:val="0"/>
          <w:sz w:val="21"/>
          <w:szCs w:val="21"/>
          <w:lang w:val="zh-CN"/>
        </w:rPr>
        <w:t>向有关部门的举报，否则作违约处理。同时对其在1至3年内禁入由采购人组织的政府采购活动的违约处理。</w:t>
      </w:r>
    </w:p>
    <w:p>
      <w:pPr>
        <w:numPr>
          <w:ilvl w:val="0"/>
          <w:numId w:val="15"/>
        </w:numPr>
        <w:snapToGrid w:val="0"/>
        <w:spacing w:line="360" w:lineRule="auto"/>
        <w:contextualSpacing/>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投诉不成立的作违约处理。</w:t>
      </w:r>
    </w:p>
    <w:p>
      <w:pPr>
        <w:numPr>
          <w:ilvl w:val="0"/>
          <w:numId w:val="0"/>
        </w:numPr>
        <w:snapToGrid w:val="0"/>
        <w:spacing w:line="360" w:lineRule="auto"/>
        <w:contextualSpacing/>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谈判供应商进行质疑后，采购人回复质疑不成立，谈判供应商仍进行投诉的，并最终投诉不成立的，作违约处理。</w:t>
      </w:r>
      <w:r>
        <w:rPr>
          <w:rFonts w:hint="eastAsia" w:ascii="宋体" w:hAnsi="宋体" w:eastAsia="宋体" w:cs="宋体"/>
          <w:kern w:val="0"/>
          <w:sz w:val="21"/>
          <w:szCs w:val="21"/>
          <w:lang w:val="zh-CN"/>
        </w:rPr>
        <w:t>采购人有权对其在1至3年内禁入由采购人组织的政府采购活动的违约处理。</w:t>
      </w:r>
    </w:p>
    <w:p>
      <w:pPr>
        <w:snapToGrid w:val="0"/>
        <w:spacing w:line="360" w:lineRule="auto"/>
        <w:contextualSpacing/>
        <w:rPr>
          <w:rFonts w:hint="eastAsia" w:ascii="宋体" w:hAnsi="宋体" w:eastAsia="宋体" w:cs="宋体"/>
          <w:sz w:val="21"/>
          <w:szCs w:val="21"/>
        </w:rPr>
      </w:pPr>
      <w:r>
        <w:rPr>
          <w:rFonts w:hint="eastAsia" w:ascii="宋体" w:hAnsi="宋体" w:eastAsia="宋体" w:cs="宋体"/>
          <w:b/>
          <w:bCs/>
          <w:kern w:val="2"/>
          <w:sz w:val="21"/>
          <w:szCs w:val="21"/>
          <w:lang w:val="zh-CN" w:eastAsia="zh-CN" w:bidi="ar-SA"/>
        </w:rPr>
        <w:t>六、《质疑函》、《质疑回复函》，质疑、举报、投诉不成立的</w:t>
      </w:r>
      <w:r>
        <w:rPr>
          <w:rFonts w:hint="eastAsia" w:ascii="宋体" w:hAnsi="宋体" w:eastAsia="宋体" w:cs="宋体"/>
          <w:sz w:val="21"/>
          <w:szCs w:val="21"/>
        </w:rPr>
        <w:t>等相关情况，视情在相关媒体予以披露。并建议相关政府采购机构对该谈判供应商同步实施1至3年内禁入。</w:t>
      </w:r>
    </w:p>
    <w:p>
      <w:pPr>
        <w:snapToGrid w:val="0"/>
        <w:spacing w:line="360" w:lineRule="auto"/>
        <w:contextualSpacing/>
        <w:rPr>
          <w:rFonts w:hint="eastAsia" w:ascii="宋体" w:hAnsi="宋体" w:eastAsia="宋体" w:cs="宋体"/>
          <w:sz w:val="21"/>
          <w:szCs w:val="21"/>
        </w:rPr>
      </w:pPr>
      <w:r>
        <w:rPr>
          <w:rFonts w:hint="eastAsia" w:ascii="宋体" w:hAnsi="宋体" w:eastAsia="宋体" w:cs="宋体"/>
          <w:b/>
          <w:bCs/>
          <w:kern w:val="2"/>
          <w:sz w:val="21"/>
          <w:szCs w:val="21"/>
          <w:lang w:val="zh-CN" w:eastAsia="zh-CN" w:bidi="ar-SA"/>
        </w:rPr>
        <w:t>七、质疑谈判供应商对采购人或代理机构的答复不满意或者采购人或代理机构未在规定的时间内作出答复的，可以在答复期满后15个工作日内向政府采购监督管理部门投诉。</w:t>
      </w:r>
      <w:bookmarkEnd w:id="34"/>
      <w:bookmarkStart w:id="52" w:name="_Toc446695419"/>
    </w:p>
    <w:p>
      <w:pPr>
        <w:spacing w:line="360" w:lineRule="auto"/>
        <w:ind w:firstLine="420" w:firstLineChars="200"/>
        <w:rPr>
          <w:rFonts w:hint="eastAsia" w:ascii="宋体" w:hAnsi="宋体" w:eastAsia="宋体" w:cs="宋体"/>
          <w:sz w:val="21"/>
          <w:szCs w:val="21"/>
        </w:rPr>
      </w:pPr>
    </w:p>
    <w:p>
      <w:pPr>
        <w:numPr>
          <w:ilvl w:val="0"/>
          <w:numId w:val="0"/>
        </w:numPr>
        <w:spacing w:line="360" w:lineRule="auto"/>
        <w:jc w:val="center"/>
        <w:rPr>
          <w:rFonts w:hint="eastAsia" w:ascii="宋体" w:hAnsi="宋体" w:eastAsia="宋体" w:cs="宋体"/>
          <w:b/>
          <w:sz w:val="32"/>
          <w:szCs w:val="32"/>
          <w:lang w:val="zh-CN"/>
        </w:rPr>
      </w:pPr>
      <w:r>
        <w:rPr>
          <w:rFonts w:hint="eastAsia" w:ascii="宋体" w:hAnsi="宋体" w:cs="宋体"/>
          <w:b/>
          <w:sz w:val="32"/>
          <w:szCs w:val="32"/>
          <w:lang w:val="en-US" w:eastAsia="zh-CN"/>
        </w:rPr>
        <w:t>第七章</w:t>
      </w:r>
      <w:r>
        <w:rPr>
          <w:rFonts w:hint="eastAsia" w:ascii="宋体" w:hAnsi="宋体" w:eastAsia="宋体" w:cs="宋体"/>
          <w:b/>
          <w:sz w:val="32"/>
          <w:szCs w:val="32"/>
          <w:lang w:val="zh-CN"/>
        </w:rPr>
        <w:t xml:space="preserve">   谈判响应文件</w:t>
      </w:r>
      <w:bookmarkEnd w:id="52"/>
      <w:r>
        <w:rPr>
          <w:rFonts w:hint="eastAsia" w:ascii="宋体" w:hAnsi="宋体" w:eastAsia="宋体" w:cs="宋体"/>
          <w:b/>
          <w:sz w:val="32"/>
          <w:szCs w:val="32"/>
          <w:lang w:val="zh-CN"/>
        </w:rPr>
        <w:t>组成</w:t>
      </w:r>
    </w:p>
    <w:p>
      <w:pPr>
        <w:autoSpaceDE w:val="0"/>
        <w:autoSpaceDN w:val="0"/>
        <w:adjustRightInd w:val="0"/>
        <w:spacing w:line="360" w:lineRule="auto"/>
        <w:jc w:val="left"/>
        <w:rPr>
          <w:rFonts w:hint="eastAsia" w:ascii="宋体" w:hAnsi="宋体" w:eastAsia="宋体" w:cs="宋体"/>
          <w:b/>
          <w:sz w:val="21"/>
          <w:szCs w:val="21"/>
        </w:rPr>
      </w:pPr>
      <w:r>
        <w:rPr>
          <w:rFonts w:hint="eastAsia" w:ascii="宋体" w:hAnsi="宋体" w:eastAsia="宋体" w:cs="宋体"/>
          <w:b/>
          <w:color w:val="000000"/>
          <w:sz w:val="21"/>
          <w:szCs w:val="21"/>
        </w:rPr>
        <w:t xml:space="preserve">    谈判</w:t>
      </w:r>
      <w:r>
        <w:rPr>
          <w:rFonts w:hint="eastAsia" w:ascii="宋体" w:hAnsi="宋体" w:eastAsia="宋体" w:cs="宋体"/>
          <w:b/>
          <w:sz w:val="21"/>
          <w:szCs w:val="21"/>
        </w:rPr>
        <w:t>响应文件由资格审查文件、技术谈判响应文件、商务报价谈判响应文件</w:t>
      </w:r>
      <w:r>
        <w:rPr>
          <w:rFonts w:hint="eastAsia" w:ascii="宋体" w:hAnsi="宋体" w:eastAsia="宋体" w:cs="宋体"/>
          <w:b/>
          <w:sz w:val="21"/>
          <w:szCs w:val="21"/>
          <w:lang w:eastAsia="zh-CN"/>
        </w:rPr>
        <w:t>、三</w:t>
      </w:r>
      <w:r>
        <w:rPr>
          <w:rFonts w:hint="eastAsia" w:ascii="宋体" w:hAnsi="宋体" w:eastAsia="宋体" w:cs="宋体"/>
          <w:b/>
          <w:sz w:val="21"/>
          <w:szCs w:val="21"/>
        </w:rPr>
        <w:t>部分组成。本次响应采用资格后审方式，谈判供应商须将资格审查文件作为谈判响应文件组成部分，按要求装订密封后一起递交。</w:t>
      </w:r>
    </w:p>
    <w:p>
      <w:pPr>
        <w:numPr>
          <w:ilvl w:val="0"/>
          <w:numId w:val="16"/>
        </w:numPr>
        <w:snapToGrid w:val="0"/>
        <w:spacing w:line="360" w:lineRule="auto"/>
        <w:jc w:val="left"/>
        <w:rPr>
          <w:rFonts w:hint="eastAsia" w:ascii="宋体" w:hAnsi="宋体" w:eastAsia="宋体" w:cs="宋体"/>
          <w:b/>
          <w:sz w:val="28"/>
          <w:szCs w:val="28"/>
        </w:rPr>
      </w:pPr>
      <w:r>
        <w:rPr>
          <w:rFonts w:hint="eastAsia" w:ascii="宋体" w:hAnsi="宋体" w:eastAsia="宋体" w:cs="宋体"/>
          <w:b/>
          <w:sz w:val="28"/>
          <w:szCs w:val="28"/>
        </w:rPr>
        <w:t xml:space="preserve">资格审查文件（单独装订密封）  </w:t>
      </w:r>
    </w:p>
    <w:p>
      <w:pPr>
        <w:keepNext w:val="0"/>
        <w:keepLines w:val="0"/>
        <w:pageBreakBefore w:val="0"/>
        <w:numPr>
          <w:ilvl w:val="0"/>
          <w:numId w:val="17"/>
        </w:numPr>
        <w:wordWrap/>
        <w:autoSpaceDE/>
        <w:autoSpaceDN/>
        <w:bidi w:val="0"/>
        <w:spacing w:line="360" w:lineRule="auto"/>
        <w:ind w:right="0" w:rightChars="0" w:firstLine="420" w:firstLineChars="200"/>
        <w:rPr>
          <w:rFonts w:hint="eastAsia"/>
          <w:sz w:val="21"/>
          <w:szCs w:val="21"/>
        </w:rPr>
      </w:pPr>
      <w:r>
        <w:rPr>
          <w:rFonts w:hint="eastAsia" w:hAnsi="宋体" w:cs="宋体"/>
          <w:sz w:val="21"/>
          <w:szCs w:val="21"/>
        </w:rPr>
        <w:t>投标供应商必须具有独立的法人资格，提供有效的营业执照</w:t>
      </w:r>
      <w:r>
        <w:rPr>
          <w:rFonts w:hint="eastAsia" w:hAnsi="宋体" w:cs="宋体"/>
          <w:sz w:val="21"/>
          <w:szCs w:val="21"/>
          <w:lang w:val="en-US" w:eastAsia="zh-CN"/>
        </w:rPr>
        <w:t>复印件</w:t>
      </w:r>
      <w:r>
        <w:rPr>
          <w:rFonts w:hint="eastAsia" w:hAnsi="宋体" w:cs="宋体"/>
          <w:sz w:val="21"/>
          <w:szCs w:val="21"/>
        </w:rPr>
        <w:t>及税务登记证</w:t>
      </w:r>
      <w:r>
        <w:rPr>
          <w:rFonts w:hint="eastAsia" w:hAnsi="宋体" w:cs="宋体"/>
          <w:sz w:val="21"/>
          <w:szCs w:val="21"/>
          <w:lang w:val="en-US" w:eastAsia="zh-CN"/>
        </w:rPr>
        <w:t>复印件</w:t>
      </w:r>
      <w:r>
        <w:rPr>
          <w:rFonts w:hint="eastAsia" w:hAnsi="宋体" w:cs="宋体"/>
          <w:sz w:val="21"/>
          <w:szCs w:val="21"/>
        </w:rPr>
        <w:t>（或者是三证合一的营业执照</w:t>
      </w:r>
      <w:r>
        <w:rPr>
          <w:rFonts w:hint="eastAsia" w:hAnsi="宋体" w:cs="宋体"/>
          <w:sz w:val="21"/>
          <w:szCs w:val="21"/>
          <w:lang w:val="en-US" w:eastAsia="zh-CN"/>
        </w:rPr>
        <w:t>复印件</w:t>
      </w:r>
      <w:r>
        <w:rPr>
          <w:rFonts w:hint="eastAsia" w:hAnsi="宋体" w:cs="宋体"/>
          <w:sz w:val="21"/>
          <w:szCs w:val="21"/>
        </w:rPr>
        <w:t>），营业执照具有相关经营范围，有能力提供本次采购项目所要求的服务。</w:t>
      </w:r>
    </w:p>
    <w:p>
      <w:pPr>
        <w:keepNext w:val="0"/>
        <w:keepLines w:val="0"/>
        <w:pageBreakBefore w:val="0"/>
        <w:numPr>
          <w:ilvl w:val="0"/>
          <w:numId w:val="17"/>
        </w:numPr>
        <w:wordWrap/>
        <w:autoSpaceDE/>
        <w:autoSpaceDN/>
        <w:bidi w:val="0"/>
        <w:spacing w:line="360" w:lineRule="auto"/>
        <w:ind w:right="0" w:rightChars="0" w:firstLine="420" w:firstLineChars="200"/>
        <w:rPr>
          <w:rFonts w:hint="eastAsia" w:hAnsi="宋体"/>
          <w:sz w:val="21"/>
          <w:szCs w:val="21"/>
        </w:rPr>
      </w:pPr>
      <w:r>
        <w:rPr>
          <w:rFonts w:hint="eastAsia" w:hAnsi="宋体" w:cs="宋体"/>
          <w:sz w:val="21"/>
          <w:szCs w:val="21"/>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hAnsi="宋体" w:cs="宋体"/>
          <w:sz w:val="21"/>
          <w:szCs w:val="21"/>
          <w:lang w:val="en-US" w:eastAsia="zh-CN"/>
        </w:rPr>
        <w:t>9</w:t>
      </w:r>
      <w:r>
        <w:rPr>
          <w:rFonts w:hint="eastAsia" w:hAnsi="宋体" w:cs="宋体"/>
          <w:sz w:val="21"/>
          <w:szCs w:val="21"/>
        </w:rPr>
        <w:t>年</w:t>
      </w:r>
      <w:r>
        <w:rPr>
          <w:rFonts w:hint="eastAsia" w:hAnsi="宋体" w:cs="宋体"/>
          <w:sz w:val="21"/>
          <w:szCs w:val="21"/>
          <w:lang w:val="en-US" w:eastAsia="zh-CN"/>
        </w:rPr>
        <w:t>5</w:t>
      </w:r>
      <w:r>
        <w:rPr>
          <w:rFonts w:hint="eastAsia" w:hAnsi="宋体" w:cs="宋体"/>
          <w:sz w:val="21"/>
          <w:szCs w:val="21"/>
        </w:rPr>
        <w:t>月-2019年</w:t>
      </w:r>
      <w:r>
        <w:rPr>
          <w:rFonts w:hint="eastAsia" w:hAnsi="宋体" w:cs="宋体"/>
          <w:sz w:val="21"/>
          <w:szCs w:val="21"/>
          <w:lang w:val="en-US" w:eastAsia="zh-CN"/>
        </w:rPr>
        <w:t>10</w:t>
      </w:r>
      <w:r>
        <w:rPr>
          <w:rFonts w:hint="eastAsia" w:hAnsi="宋体" w:cs="宋体"/>
          <w:sz w:val="21"/>
          <w:szCs w:val="21"/>
        </w:rPr>
        <w:t>月连续六个月的养老保险缴费清单复印件】。</w:t>
      </w:r>
    </w:p>
    <w:p>
      <w:pPr>
        <w:keepNext w:val="0"/>
        <w:keepLines w:val="0"/>
        <w:pageBreakBefore w:val="0"/>
        <w:numPr>
          <w:ilvl w:val="0"/>
          <w:numId w:val="17"/>
        </w:numPr>
        <w:wordWrap/>
        <w:autoSpaceDE/>
        <w:autoSpaceDN/>
        <w:bidi w:val="0"/>
        <w:spacing w:line="360" w:lineRule="auto"/>
        <w:ind w:right="0" w:rightChars="0" w:firstLine="420" w:firstLineChars="200"/>
        <w:rPr>
          <w:rFonts w:hint="eastAsia" w:hAnsi="宋体"/>
          <w:sz w:val="21"/>
          <w:szCs w:val="21"/>
        </w:rPr>
      </w:pPr>
      <w:r>
        <w:rPr>
          <w:rFonts w:hint="eastAsia" w:hAnsi="宋体"/>
          <w:sz w:val="21"/>
          <w:szCs w:val="21"/>
        </w:rPr>
        <w:t>投标供应商须提供参与本次项目政府采购活动前三年内，在经营活动中没有重大违法记录的书面《无重大违法记录声明函》</w:t>
      </w:r>
      <w:r>
        <w:rPr>
          <w:rFonts w:hint="eastAsia" w:hAnsi="宋体"/>
          <w:sz w:val="21"/>
          <w:szCs w:val="21"/>
          <w:lang w:eastAsia="zh-CN"/>
        </w:rPr>
        <w:t>（格式参见第八章）</w:t>
      </w:r>
      <w:r>
        <w:rPr>
          <w:rFonts w:hint="eastAsia" w:hAnsi="宋体"/>
          <w:sz w:val="21"/>
          <w:szCs w:val="21"/>
        </w:rPr>
        <w:t>。</w:t>
      </w:r>
    </w:p>
    <w:p>
      <w:pPr>
        <w:pStyle w:val="2"/>
        <w:ind w:firstLine="420" w:firstLineChars="200"/>
        <w:rPr>
          <w:rFonts w:hint="eastAsia"/>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关于资格文件的声明函（格式参见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keepNext w:val="0"/>
        <w:keepLines w:val="0"/>
        <w:pageBreakBefore w:val="0"/>
        <w:wordWrap/>
        <w:autoSpaceDE/>
        <w:autoSpaceDN/>
        <w:bidi w:val="0"/>
        <w:adjustRightInd w:val="0"/>
        <w:snapToGrid w:val="0"/>
        <w:spacing w:line="360" w:lineRule="auto"/>
        <w:ind w:right="0" w:rightChars="0" w:firstLine="482" w:firstLineChars="200"/>
        <w:jc w:val="left"/>
        <w:rPr>
          <w:rFonts w:hint="eastAsia" w:hAnsi="宋体"/>
          <w:b/>
          <w:sz w:val="24"/>
          <w:szCs w:val="24"/>
        </w:rPr>
      </w:pPr>
      <w:r>
        <w:rPr>
          <w:rFonts w:hint="eastAsia" w:hAnsi="宋体"/>
          <w:b/>
          <w:sz w:val="24"/>
          <w:szCs w:val="24"/>
        </w:rPr>
        <w:t>以上材料如为复印件均需加盖投标单位公章。</w:t>
      </w:r>
    </w:p>
    <w:p>
      <w:pPr>
        <w:snapToGrid w:val="0"/>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sz w:val="28"/>
          <w:szCs w:val="28"/>
        </w:rPr>
        <w:t>二、技术谈判响应文件：（单独装订密封</w:t>
      </w:r>
      <w:r>
        <w:rPr>
          <w:rFonts w:hint="eastAsia" w:ascii="宋体" w:hAnsi="宋体" w:eastAsia="宋体" w:cs="宋体"/>
          <w:b/>
          <w:bCs/>
          <w:sz w:val="21"/>
          <w:szCs w:val="21"/>
        </w:rPr>
        <w:t>）</w:t>
      </w:r>
    </w:p>
    <w:p>
      <w:pPr>
        <w:tabs>
          <w:tab w:val="left" w:pos="3375"/>
        </w:tabs>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1、投标响应函；（格式参见</w:t>
      </w:r>
      <w:r>
        <w:rPr>
          <w:rFonts w:hint="eastAsia" w:ascii="宋体" w:hAnsi="宋体" w:cs="宋体"/>
          <w:sz w:val="21"/>
          <w:szCs w:val="21"/>
          <w:lang w:val="en-US" w:eastAsia="zh-CN"/>
        </w:rPr>
        <w:t>第八章</w:t>
      </w:r>
      <w:r>
        <w:rPr>
          <w:rFonts w:hint="eastAsia" w:ascii="宋体" w:hAnsi="宋体" w:eastAsia="宋体" w:cs="宋体"/>
          <w:sz w:val="21"/>
          <w:szCs w:val="21"/>
          <w:lang w:val="en-US" w:eastAsia="zh-CN"/>
        </w:rPr>
        <w:t>）；</w:t>
      </w:r>
    </w:p>
    <w:p>
      <w:pPr>
        <w:tabs>
          <w:tab w:val="left" w:pos="3375"/>
        </w:tabs>
        <w:adjustRightInd w:val="0"/>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eastAsia="zh-CN"/>
        </w:rPr>
        <w:t>技术条款响应一览表（格式参见</w:t>
      </w:r>
      <w:r>
        <w:rPr>
          <w:rFonts w:hint="eastAsia" w:ascii="宋体" w:hAnsi="宋体" w:cs="宋体"/>
          <w:sz w:val="21"/>
          <w:szCs w:val="21"/>
          <w:lang w:val="en-US" w:eastAsia="zh-CN"/>
        </w:rPr>
        <w:t>第八章</w:t>
      </w:r>
      <w:r>
        <w:rPr>
          <w:rFonts w:hint="eastAsia" w:ascii="宋体" w:hAnsi="宋体" w:eastAsia="宋体" w:cs="宋体"/>
          <w:sz w:val="21"/>
          <w:szCs w:val="21"/>
          <w:lang w:val="zh-CN" w:eastAsia="zh-CN"/>
        </w:rPr>
        <w:t>）</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、质保期内，采购人遇有重大活动时，中标人在采购人规定时间内指派专业技术人员到达现场实施保障服务，以确保招标人特殊时期工作不发生中断。（提供承诺函，格式自拟）</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、按项目需求编写，格式自定，其中须包含但不限于如下的内容：</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①提供完善的</w:t>
      </w:r>
      <w:r>
        <w:rPr>
          <w:rFonts w:hint="eastAsia" w:ascii="宋体" w:hAnsi="宋体" w:cs="宋体"/>
          <w:sz w:val="21"/>
          <w:szCs w:val="21"/>
          <w:lang w:val="en-US" w:eastAsia="zh-CN"/>
        </w:rPr>
        <w:t>供货及安装调试</w:t>
      </w:r>
      <w:r>
        <w:rPr>
          <w:rFonts w:hint="eastAsia" w:ascii="宋体" w:hAnsi="宋体" w:eastAsia="宋体" w:cs="宋体"/>
          <w:sz w:val="21"/>
          <w:szCs w:val="21"/>
          <w:lang w:val="en-US" w:eastAsia="zh-CN"/>
        </w:rPr>
        <w:t>方案；</w:t>
      </w:r>
    </w:p>
    <w:p>
      <w:pPr>
        <w:tabs>
          <w:tab w:val="left" w:pos="3375"/>
        </w:tabs>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②提供明确、合理的障碍处理流程、应急预案。</w:t>
      </w:r>
    </w:p>
    <w:p>
      <w:pPr>
        <w:spacing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特别提醒：“资格审查文件”“技术谈判响应文件”所须提供的材料（须加盖谈判供应商公章）按谈判文件要求装订，密封，递交。“资格审查文件”“技术谈判响应文件”所涉及的相关原件请带至开标现场备查。</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   </w:t>
      </w:r>
      <w:r>
        <w:rPr>
          <w:rFonts w:hint="eastAsia" w:ascii="宋体" w:hAnsi="宋体" w:eastAsia="宋体" w:cs="宋体"/>
          <w:b/>
          <w:sz w:val="28"/>
          <w:szCs w:val="28"/>
        </w:rPr>
        <w:t>三、商务报价谈判响应文件（单独装订密封）</w:t>
      </w:r>
    </w:p>
    <w:p>
      <w:pPr>
        <w:snapToGrid w:val="0"/>
        <w:spacing w:line="360" w:lineRule="auto"/>
        <w:ind w:firstLine="315" w:firstLineChars="150"/>
        <w:rPr>
          <w:rFonts w:hint="eastAsia" w:ascii="宋体" w:hAnsi="宋体" w:eastAsia="宋体" w:cs="宋体"/>
          <w:sz w:val="21"/>
          <w:szCs w:val="21"/>
        </w:rPr>
      </w:pPr>
      <w:r>
        <w:rPr>
          <w:rFonts w:hint="eastAsia" w:ascii="宋体" w:hAnsi="宋体" w:eastAsia="宋体" w:cs="宋体"/>
          <w:kern w:val="0"/>
          <w:sz w:val="21"/>
          <w:szCs w:val="21"/>
          <w:lang w:val="zh-CN"/>
        </w:rPr>
        <w:t>（一）</w:t>
      </w:r>
      <w:r>
        <w:rPr>
          <w:rFonts w:hint="eastAsia" w:ascii="宋体" w:hAnsi="宋体" w:eastAsia="宋体" w:cs="宋体"/>
          <w:sz w:val="21"/>
          <w:szCs w:val="21"/>
        </w:rPr>
        <w:t>谈判响应报价总表(首次）（格式参见</w:t>
      </w:r>
      <w:r>
        <w:rPr>
          <w:rFonts w:hint="eastAsia" w:ascii="宋体" w:hAnsi="宋体" w:cs="宋体"/>
          <w:sz w:val="21"/>
          <w:szCs w:val="21"/>
          <w:lang w:eastAsia="zh-CN"/>
        </w:rPr>
        <w:t>第八章</w:t>
      </w:r>
      <w:r>
        <w:rPr>
          <w:rFonts w:hint="eastAsia" w:ascii="宋体" w:hAnsi="宋体" w:eastAsia="宋体" w:cs="宋体"/>
          <w:sz w:val="21"/>
          <w:szCs w:val="21"/>
        </w:rPr>
        <w:t>）</w:t>
      </w:r>
    </w:p>
    <w:p>
      <w:pPr>
        <w:snapToGrid w:val="0"/>
        <w:spacing w:line="360" w:lineRule="auto"/>
        <w:ind w:firstLine="315" w:firstLineChars="150"/>
        <w:rPr>
          <w:rFonts w:hint="eastAsia" w:ascii="宋体" w:hAnsi="宋体" w:eastAsia="宋体" w:cs="宋体"/>
          <w:sz w:val="21"/>
          <w:szCs w:val="21"/>
          <w:lang w:eastAsia="zh-CN"/>
        </w:rPr>
      </w:pPr>
      <w:r>
        <w:rPr>
          <w:rFonts w:hint="eastAsia" w:ascii="宋体" w:hAnsi="宋体" w:eastAsia="宋体" w:cs="宋体"/>
          <w:kern w:val="0"/>
          <w:sz w:val="21"/>
          <w:szCs w:val="21"/>
          <w:lang w:val="zh-CN"/>
        </w:rPr>
        <w:t>（二）</w:t>
      </w:r>
      <w:r>
        <w:rPr>
          <w:rFonts w:hint="eastAsia" w:ascii="宋体" w:hAnsi="宋体" w:eastAsia="宋体" w:cs="宋体"/>
          <w:sz w:val="21"/>
          <w:szCs w:val="21"/>
        </w:rPr>
        <w:t>谈判响应报价明细表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格式自拟</w:t>
      </w:r>
      <w:r>
        <w:rPr>
          <w:rFonts w:hint="eastAsia" w:ascii="宋体" w:hAnsi="宋体" w:eastAsia="宋体" w:cs="宋体"/>
          <w:sz w:val="21"/>
          <w:szCs w:val="21"/>
          <w:lang w:eastAsia="zh-CN"/>
        </w:rPr>
        <w:t>）</w:t>
      </w:r>
    </w:p>
    <w:p>
      <w:pPr>
        <w:spacing w:line="360" w:lineRule="auto"/>
        <w:jc w:val="center"/>
        <w:rPr>
          <w:rFonts w:hint="eastAsia" w:ascii="宋体" w:hAnsi="宋体" w:eastAsia="宋体" w:cs="宋体"/>
          <w:b/>
          <w:bCs/>
          <w:sz w:val="32"/>
          <w:szCs w:val="32"/>
        </w:rPr>
      </w:pPr>
      <w:bookmarkStart w:id="53" w:name="_Toc446695420"/>
      <w:r>
        <w:rPr>
          <w:rFonts w:hint="eastAsia" w:ascii="宋体" w:hAnsi="宋体" w:eastAsia="宋体" w:cs="宋体"/>
          <w:b/>
          <w:bCs/>
          <w:sz w:val="32"/>
          <w:szCs w:val="32"/>
          <w:lang w:val="zh-CN"/>
        </w:rPr>
        <w:t>第</w:t>
      </w:r>
      <w:r>
        <w:rPr>
          <w:rFonts w:hint="eastAsia" w:ascii="宋体" w:hAnsi="宋体" w:cs="宋体"/>
          <w:b/>
          <w:bCs/>
          <w:sz w:val="32"/>
          <w:szCs w:val="32"/>
          <w:lang w:val="en-US" w:eastAsia="zh-CN"/>
        </w:rPr>
        <w:t>八</w:t>
      </w:r>
      <w:r>
        <w:rPr>
          <w:rFonts w:hint="eastAsia" w:ascii="宋体" w:hAnsi="宋体" w:eastAsia="宋体" w:cs="宋体"/>
          <w:b/>
          <w:bCs/>
          <w:sz w:val="32"/>
          <w:szCs w:val="32"/>
          <w:lang w:val="zh-CN"/>
        </w:rPr>
        <w:t>章 相关附件格式</w:t>
      </w:r>
      <w:bookmarkEnd w:id="53"/>
    </w:p>
    <w:p>
      <w:pPr>
        <w:snapToGrid w:val="0"/>
        <w:spacing w:line="520" w:lineRule="exact"/>
        <w:rPr>
          <w:rFonts w:hint="eastAsia" w:ascii="宋体" w:hAnsi="宋体" w:eastAsia="宋体" w:cs="宋体"/>
          <w:b/>
          <w:bCs/>
          <w:spacing w:val="20"/>
          <w:sz w:val="21"/>
          <w:szCs w:val="21"/>
        </w:rPr>
      </w:pPr>
    </w:p>
    <w:p>
      <w:pPr>
        <w:spacing w:line="360" w:lineRule="auto"/>
        <w:jc w:val="center"/>
        <w:rPr>
          <w:rFonts w:hint="eastAsia" w:ascii="宋体" w:hAnsi="宋体" w:eastAsia="宋体" w:cs="宋体"/>
          <w:b/>
          <w:color w:val="FF00FF"/>
          <w:sz w:val="28"/>
          <w:szCs w:val="28"/>
        </w:rPr>
      </w:pPr>
      <w:r>
        <w:rPr>
          <w:rFonts w:hint="eastAsia" w:ascii="宋体" w:hAnsi="宋体" w:cs="宋体"/>
          <w:b/>
          <w:sz w:val="28"/>
          <w:szCs w:val="28"/>
          <w:lang w:eastAsia="zh-CN"/>
        </w:rPr>
        <w:t>江苏省南通市人民检察院智慧餐厅项目</w:t>
      </w:r>
      <w:r>
        <w:rPr>
          <w:rFonts w:hint="eastAsia" w:ascii="宋体" w:hAnsi="宋体" w:eastAsia="宋体" w:cs="宋体"/>
          <w:b/>
          <w:color w:val="FF00FF"/>
          <w:sz w:val="28"/>
          <w:szCs w:val="28"/>
        </w:rPr>
        <w:t xml:space="preserve"> </w:t>
      </w:r>
    </w:p>
    <w:p>
      <w:pPr>
        <w:tabs>
          <w:tab w:val="left" w:pos="6300"/>
        </w:tabs>
        <w:snapToGrid w:val="0"/>
        <w:spacing w:line="300" w:lineRule="auto"/>
        <w:jc w:val="center"/>
        <w:rPr>
          <w:rFonts w:hint="eastAsia" w:ascii="宋体" w:hAnsi="宋体" w:eastAsia="宋体" w:cs="宋体"/>
          <w:b/>
          <w:bCs/>
          <w:w w:val="80"/>
          <w:sz w:val="28"/>
          <w:szCs w:val="28"/>
        </w:rPr>
      </w:pPr>
    </w:p>
    <w:p>
      <w:pPr>
        <w:tabs>
          <w:tab w:val="left" w:pos="6300"/>
        </w:tabs>
        <w:snapToGrid w:val="0"/>
        <w:spacing w:line="300" w:lineRule="auto"/>
        <w:jc w:val="center"/>
        <w:rPr>
          <w:rFonts w:hint="eastAsia" w:ascii="宋体" w:hAnsi="宋体" w:eastAsia="宋体" w:cs="宋体"/>
          <w:b/>
          <w:bCs/>
          <w:w w:val="80"/>
          <w:sz w:val="28"/>
          <w:szCs w:val="28"/>
        </w:rPr>
      </w:pPr>
    </w:p>
    <w:p>
      <w:pPr>
        <w:tabs>
          <w:tab w:val="left" w:pos="6300"/>
        </w:tabs>
        <w:snapToGrid w:val="0"/>
        <w:spacing w:line="300" w:lineRule="auto"/>
        <w:rPr>
          <w:rFonts w:hint="eastAsia" w:ascii="宋体" w:hAnsi="宋体" w:eastAsia="宋体" w:cs="宋体"/>
          <w:b/>
          <w:w w:val="80"/>
          <w:sz w:val="28"/>
          <w:szCs w:val="28"/>
        </w:rPr>
      </w:pPr>
    </w:p>
    <w:p>
      <w:pPr>
        <w:tabs>
          <w:tab w:val="left" w:pos="6300"/>
        </w:tabs>
        <w:snapToGrid w:val="0"/>
        <w:spacing w:line="300" w:lineRule="auto"/>
        <w:jc w:val="center"/>
        <w:rPr>
          <w:rFonts w:hint="eastAsia" w:ascii="宋体" w:hAnsi="宋体" w:eastAsia="宋体" w:cs="宋体"/>
          <w:b/>
          <w:w w:val="80"/>
          <w:sz w:val="28"/>
          <w:szCs w:val="28"/>
        </w:rPr>
      </w:pPr>
      <w:r>
        <w:rPr>
          <w:rFonts w:hint="eastAsia" w:ascii="宋体" w:hAnsi="宋体" w:eastAsia="宋体" w:cs="宋体"/>
          <w:b/>
          <w:w w:val="80"/>
          <w:sz w:val="28"/>
          <w:szCs w:val="28"/>
        </w:rPr>
        <w:t>竞争性谈判响应文件</w:t>
      </w:r>
    </w:p>
    <w:p>
      <w:pPr>
        <w:spacing w:line="520" w:lineRule="exact"/>
        <w:jc w:val="center"/>
        <w:rPr>
          <w:rFonts w:hint="eastAsia" w:ascii="宋体" w:hAnsi="宋体" w:eastAsia="宋体" w:cs="宋体"/>
          <w:b/>
          <w:sz w:val="28"/>
          <w:szCs w:val="28"/>
        </w:rPr>
      </w:pPr>
    </w:p>
    <w:p>
      <w:pPr>
        <w:spacing w:line="520" w:lineRule="exact"/>
        <w:ind w:firstLine="2240" w:firstLineChars="800"/>
        <w:rPr>
          <w:rFonts w:hint="eastAsia" w:ascii="宋体" w:hAnsi="宋体" w:eastAsia="宋体" w:cs="宋体"/>
          <w:dstrike/>
          <w:color w:val="FF00FF"/>
          <w:sz w:val="28"/>
          <w:szCs w:val="28"/>
        </w:rPr>
      </w:pPr>
      <w:r>
        <w:rPr>
          <w:rFonts w:hint="eastAsia" w:ascii="宋体" w:hAnsi="宋体" w:eastAsia="宋体" w:cs="宋体"/>
          <w:sz w:val="28"/>
          <w:szCs w:val="28"/>
        </w:rPr>
        <w:t>分别对应填写：资格审查文件</w:t>
      </w:r>
    </w:p>
    <w:p>
      <w:pPr>
        <w:spacing w:line="520" w:lineRule="exact"/>
        <w:ind w:firstLine="2240" w:firstLineChars="800"/>
        <w:rPr>
          <w:rFonts w:hint="eastAsia" w:ascii="宋体" w:hAnsi="宋体" w:eastAsia="宋体" w:cs="宋体"/>
          <w:sz w:val="28"/>
          <w:szCs w:val="28"/>
        </w:rPr>
      </w:pPr>
      <w:r>
        <w:rPr>
          <w:rFonts w:hint="eastAsia" w:ascii="宋体" w:hAnsi="宋体" w:eastAsia="宋体" w:cs="宋体"/>
          <w:sz w:val="28"/>
          <w:szCs w:val="28"/>
        </w:rPr>
        <w:t>分别对应填写：技术谈判响应文件</w:t>
      </w:r>
    </w:p>
    <w:p>
      <w:pPr>
        <w:spacing w:line="520" w:lineRule="exact"/>
        <w:ind w:firstLine="2240" w:firstLineChars="800"/>
        <w:rPr>
          <w:rFonts w:hint="eastAsia" w:ascii="宋体" w:hAnsi="宋体" w:eastAsia="宋体" w:cs="宋体"/>
          <w:sz w:val="28"/>
          <w:szCs w:val="28"/>
        </w:rPr>
      </w:pPr>
      <w:r>
        <w:rPr>
          <w:rFonts w:hint="eastAsia" w:ascii="宋体" w:hAnsi="宋体" w:eastAsia="宋体" w:cs="宋体"/>
          <w:sz w:val="28"/>
          <w:szCs w:val="28"/>
        </w:rPr>
        <w:t>分别对应填写：商务报价谈判响应文件</w:t>
      </w: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（资格后审）</w:t>
      </w: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color w:val="000000"/>
          <w:sz w:val="28"/>
          <w:szCs w:val="28"/>
        </w:rPr>
      </w:pPr>
    </w:p>
    <w:p>
      <w:pPr>
        <w:snapToGrid w:val="0"/>
        <w:spacing w:line="520" w:lineRule="exact"/>
        <w:jc w:val="center"/>
        <w:rPr>
          <w:rFonts w:hint="eastAsia" w:ascii="宋体" w:hAnsi="宋体" w:eastAsia="宋体" w:cs="宋体"/>
          <w:b/>
          <w:bCs/>
          <w:color w:val="000000"/>
          <w:spacing w:val="20"/>
          <w:sz w:val="28"/>
          <w:szCs w:val="28"/>
        </w:rPr>
      </w:pPr>
      <w:r>
        <w:rPr>
          <w:rFonts w:hint="eastAsia" w:ascii="宋体" w:hAnsi="宋体" w:eastAsia="宋体" w:cs="宋体"/>
          <w:b/>
          <w:color w:val="000000"/>
          <w:sz w:val="28"/>
          <w:szCs w:val="28"/>
        </w:rPr>
        <w:t xml:space="preserve"> </w:t>
      </w:r>
    </w:p>
    <w:p>
      <w:pPr>
        <w:adjustRightInd w:val="0"/>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谈判供应商：参加谈判单位全称</w:t>
      </w:r>
    </w:p>
    <w:p>
      <w:pPr>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二○一</w:t>
      </w:r>
      <w:r>
        <w:rPr>
          <w:rFonts w:hint="eastAsia" w:ascii="宋体" w:hAnsi="宋体" w:eastAsia="宋体" w:cs="宋体"/>
          <w:sz w:val="28"/>
          <w:szCs w:val="28"/>
          <w:lang w:val="en-US" w:eastAsia="zh-CN"/>
        </w:rPr>
        <w:t>九</w:t>
      </w:r>
      <w:r>
        <w:rPr>
          <w:rFonts w:hint="eastAsia" w:ascii="宋体" w:hAnsi="宋体" w:eastAsia="宋体" w:cs="宋体"/>
          <w:sz w:val="28"/>
          <w:szCs w:val="28"/>
        </w:rPr>
        <w:t>年     月     日</w:t>
      </w:r>
    </w:p>
    <w:p>
      <w:pPr>
        <w:snapToGrid w:val="0"/>
        <w:spacing w:line="360" w:lineRule="auto"/>
        <w:rPr>
          <w:rFonts w:hint="eastAsia" w:ascii="宋体" w:hAnsi="宋体" w:eastAsia="宋体" w:cs="宋体"/>
          <w:b/>
          <w:sz w:val="28"/>
          <w:szCs w:val="28"/>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r>
        <w:rPr>
          <w:rFonts w:hint="eastAsia" w:ascii="宋体" w:hAnsi="宋体" w:eastAsia="宋体" w:cs="宋体"/>
          <w:b/>
          <w:bCs/>
          <w:sz w:val="21"/>
          <w:szCs w:val="21"/>
        </w:rPr>
        <w:br w:type="page"/>
      </w:r>
    </w:p>
    <w:p>
      <w:pPr>
        <w:widowControl/>
        <w:jc w:val="left"/>
        <w:rPr>
          <w:rFonts w:hint="eastAsia" w:ascii="宋体" w:hAnsi="宋体" w:eastAsia="宋体" w:cs="宋体"/>
          <w:b/>
          <w:bCs/>
          <w:sz w:val="28"/>
          <w:szCs w:val="28"/>
        </w:rPr>
      </w:pPr>
      <w:r>
        <w:rPr>
          <w:rFonts w:hint="eastAsia" w:ascii="宋体" w:hAnsi="宋体" w:eastAsia="宋体" w:cs="宋体"/>
          <w:b/>
          <w:sz w:val="28"/>
          <w:szCs w:val="28"/>
        </w:rPr>
        <w:t xml:space="preserve"> 一、资格审查文件相关的格式文件及表格</w:t>
      </w:r>
    </w:p>
    <w:p>
      <w:pPr>
        <w:spacing w:line="560" w:lineRule="exact"/>
        <w:jc w:val="center"/>
        <w:rPr>
          <w:rFonts w:hint="eastAsia" w:ascii="宋体" w:hAnsi="宋体" w:eastAsia="宋体" w:cs="宋体"/>
          <w:b/>
          <w:bCs/>
          <w:sz w:val="28"/>
          <w:szCs w:val="28"/>
        </w:rPr>
      </w:pP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法定代表人</w:t>
      </w:r>
      <w:r>
        <w:rPr>
          <w:rFonts w:hint="eastAsia" w:ascii="宋体" w:hAnsi="宋体" w:eastAsia="宋体" w:cs="宋体"/>
          <w:b/>
          <w:bCs/>
          <w:sz w:val="28"/>
          <w:szCs w:val="28"/>
        </w:rPr>
        <w:t xml:space="preserve">身份证明  </w:t>
      </w:r>
    </w:p>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法定代表人</w:t>
      </w:r>
      <w:r>
        <w:rPr>
          <w:rFonts w:hint="eastAsia" w:ascii="宋体" w:hAnsi="宋体" w:eastAsia="宋体" w:cs="宋体"/>
          <w:sz w:val="21"/>
          <w:szCs w:val="21"/>
        </w:rPr>
        <w:t>参加</w:t>
      </w:r>
      <w:r>
        <w:rPr>
          <w:rFonts w:hint="eastAsia" w:ascii="宋体" w:hAnsi="宋体" w:eastAsia="宋体" w:cs="宋体"/>
          <w:sz w:val="21"/>
          <w:szCs w:val="21"/>
          <w:lang w:eastAsia="zh-CN"/>
        </w:rPr>
        <w:t>谈判</w:t>
      </w:r>
      <w:r>
        <w:rPr>
          <w:rFonts w:hint="eastAsia" w:ascii="宋体" w:hAnsi="宋体" w:eastAsia="宋体" w:cs="宋体"/>
          <w:sz w:val="21"/>
          <w:szCs w:val="21"/>
        </w:rPr>
        <w:t>，须出示此证明）</w:t>
      </w:r>
    </w:p>
    <w:p>
      <w:pPr>
        <w:spacing w:line="560" w:lineRule="exact"/>
        <w:rPr>
          <w:rFonts w:hint="eastAsia" w:ascii="宋体" w:hAnsi="宋体" w:eastAsia="宋体" w:cs="宋体"/>
          <w:sz w:val="21"/>
          <w:szCs w:val="21"/>
        </w:rPr>
      </w:pP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我公司</w:t>
      </w:r>
      <w:r>
        <w:rPr>
          <w:rFonts w:hint="eastAsia" w:ascii="宋体" w:hAnsi="宋体" w:eastAsia="宋体" w:cs="宋体"/>
          <w:sz w:val="21"/>
          <w:szCs w:val="21"/>
          <w:lang w:eastAsia="zh-CN"/>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参加贵单位组织的</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（采购项目名称)项目竞争性谈判采购活动，全权代表我公司处理</w:t>
      </w:r>
      <w:r>
        <w:rPr>
          <w:rFonts w:hint="eastAsia" w:ascii="宋体" w:hAnsi="宋体" w:eastAsia="宋体" w:cs="宋体"/>
          <w:sz w:val="21"/>
          <w:szCs w:val="21"/>
          <w:lang w:eastAsia="zh-CN"/>
        </w:rPr>
        <w:t>谈判</w:t>
      </w:r>
      <w:r>
        <w:rPr>
          <w:rFonts w:hint="eastAsia" w:ascii="宋体" w:hAnsi="宋体" w:eastAsia="宋体" w:cs="宋体"/>
          <w:sz w:val="21"/>
          <w:szCs w:val="21"/>
        </w:rPr>
        <w:t>的有关事宜。</w:t>
      </w:r>
    </w:p>
    <w:p>
      <w:pPr>
        <w:spacing w:line="560" w:lineRule="exact"/>
        <w:rPr>
          <w:rFonts w:hint="eastAsia" w:ascii="宋体" w:hAnsi="宋体" w:eastAsia="宋体" w:cs="宋体"/>
          <w:sz w:val="21"/>
          <w:szCs w:val="21"/>
        </w:rPr>
      </w:pPr>
      <w:r>
        <w:rPr>
          <w:rFonts w:hint="eastAsia" w:ascii="宋体" w:hAnsi="宋体" w:eastAsia="宋体" w:cs="宋体"/>
          <w:sz w:val="21"/>
          <w:szCs w:val="21"/>
        </w:rPr>
        <w:t>附：</w:t>
      </w:r>
      <w:r>
        <w:rPr>
          <w:rFonts w:hint="eastAsia" w:ascii="宋体" w:hAnsi="宋体" w:eastAsia="宋体" w:cs="宋体"/>
          <w:sz w:val="21"/>
          <w:szCs w:val="21"/>
          <w:lang w:eastAsia="zh-CN"/>
        </w:rPr>
        <w:t>法定代表人</w:t>
      </w:r>
      <w:r>
        <w:rPr>
          <w:rFonts w:hint="eastAsia" w:ascii="宋体" w:hAnsi="宋体" w:eastAsia="宋体" w:cs="宋体"/>
          <w:sz w:val="21"/>
          <w:szCs w:val="21"/>
        </w:rPr>
        <w:t>情况：</w:t>
      </w:r>
    </w:p>
    <w:p>
      <w:pPr>
        <w:spacing w:line="560" w:lineRule="exact"/>
        <w:rPr>
          <w:rFonts w:hint="eastAsia" w:ascii="宋体" w:hAnsi="宋体" w:eastAsia="宋体" w:cs="宋体"/>
          <w:sz w:val="21"/>
          <w:szCs w:val="21"/>
          <w:u w:val="single"/>
        </w:rPr>
      </w:pP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性别：</w:t>
      </w:r>
      <w:r>
        <w:rPr>
          <w:rFonts w:hint="eastAsia" w:ascii="宋体" w:hAnsi="宋体" w:eastAsia="宋体" w:cs="宋体"/>
          <w:sz w:val="21"/>
          <w:szCs w:val="21"/>
          <w:u w:val="single"/>
        </w:rPr>
        <w:t xml:space="preserve">    </w:t>
      </w:r>
      <w:r>
        <w:rPr>
          <w:rFonts w:hint="eastAsia" w:ascii="宋体" w:hAnsi="宋体" w:eastAsia="宋体" w:cs="宋体"/>
          <w:sz w:val="21"/>
          <w:szCs w:val="21"/>
        </w:rPr>
        <w:t>年龄：</w:t>
      </w:r>
      <w:r>
        <w:rPr>
          <w:rFonts w:hint="eastAsia" w:ascii="宋体" w:hAnsi="宋体" w:eastAsia="宋体" w:cs="宋体"/>
          <w:sz w:val="21"/>
          <w:szCs w:val="21"/>
          <w:u w:val="single"/>
        </w:rPr>
        <w:t xml:space="preserve">      </w:t>
      </w:r>
      <w:r>
        <w:rPr>
          <w:rFonts w:hint="eastAsia" w:ascii="宋体" w:hAnsi="宋体" w:eastAsia="宋体" w:cs="宋体"/>
          <w:sz w:val="21"/>
          <w:szCs w:val="21"/>
        </w:rPr>
        <w:t>职务：</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手机：</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单位名称（公章）            </w:t>
      </w:r>
      <w:r>
        <w:rPr>
          <w:rFonts w:hint="eastAsia" w:ascii="宋体" w:hAnsi="宋体" w:eastAsia="宋体" w:cs="宋体"/>
          <w:sz w:val="21"/>
          <w:szCs w:val="21"/>
          <w:lang w:eastAsia="zh-CN"/>
        </w:rPr>
        <w:t>法定代表人</w:t>
      </w:r>
      <w:r>
        <w:rPr>
          <w:rFonts w:hint="eastAsia" w:ascii="宋体" w:hAnsi="宋体" w:eastAsia="宋体" w:cs="宋体"/>
          <w:sz w:val="21"/>
          <w:szCs w:val="21"/>
        </w:rPr>
        <w:t xml:space="preserve">（签字或盖章） </w:t>
      </w:r>
    </w:p>
    <w:p>
      <w:pPr>
        <w:spacing w:line="560" w:lineRule="exact"/>
        <w:ind w:firstLine="1050" w:firstLineChars="500"/>
        <w:rPr>
          <w:rFonts w:hint="eastAsia" w:ascii="宋体" w:hAnsi="宋体" w:eastAsia="宋体" w:cs="宋体"/>
          <w:sz w:val="21"/>
          <w:szCs w:val="21"/>
        </w:rPr>
      </w:pPr>
      <w:r>
        <w:rPr>
          <w:rFonts w:hint="eastAsia" w:ascii="宋体" w:hAnsi="宋体" w:eastAsia="宋体" w:cs="宋体"/>
          <w:sz w:val="21"/>
          <w:szCs w:val="21"/>
        </w:rPr>
        <w:t xml:space="preserve">年   月   日                 年   月    日  </w:t>
      </w:r>
    </w:p>
    <w:p>
      <w:pPr>
        <w:spacing w:line="560" w:lineRule="exact"/>
        <w:rPr>
          <w:rFonts w:hint="eastAsia" w:ascii="宋体" w:hAnsi="宋体" w:eastAsia="宋体" w:cs="宋体"/>
          <w:sz w:val="21"/>
          <w:szCs w:val="21"/>
        </w:rPr>
      </w:pPr>
      <w:r>
        <w:rPr>
          <w:rFonts w:hint="eastAsia" w:ascii="宋体" w:hAnsi="宋体" w:eastAsia="宋体" w:cs="宋体"/>
          <w:sz w:val="21"/>
          <w:szCs w:val="21"/>
          <w:lang w:eastAsia="zh-CN"/>
        </w:rPr>
        <w:t>法定代表人</w:t>
      </w:r>
      <w:r>
        <w:rPr>
          <w:rFonts w:hint="eastAsia" w:ascii="宋体" w:hAnsi="宋体" w:eastAsia="宋体" w:cs="宋体"/>
          <w:sz w:val="21"/>
          <w:szCs w:val="21"/>
        </w:rPr>
        <w:t>身份证复印件</w:t>
      </w: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 </w:t>
      </w:r>
    </w:p>
    <w:p>
      <w:pPr>
        <w:spacing w:line="560" w:lineRule="exact"/>
        <w:rPr>
          <w:rFonts w:hint="eastAsia" w:ascii="宋体" w:hAnsi="宋体" w:eastAsia="宋体" w:cs="宋体"/>
          <w:sz w:val="21"/>
          <w:szCs w:val="21"/>
        </w:rPr>
      </w:pPr>
    </w:p>
    <w:p>
      <w:pPr>
        <w:spacing w:line="560" w:lineRule="exact"/>
        <w:ind w:firstLine="1995" w:firstLineChars="950"/>
        <w:rPr>
          <w:rFonts w:hint="eastAsia" w:ascii="宋体" w:hAnsi="宋体" w:eastAsia="宋体" w:cs="宋体"/>
          <w:sz w:val="21"/>
          <w:szCs w:val="21"/>
        </w:rPr>
      </w:pPr>
      <w:r>
        <w:rPr>
          <w:rFonts w:hint="eastAsia" w:ascii="宋体" w:hAnsi="宋体" w:eastAsia="宋体" w:cs="宋体"/>
          <w:sz w:val="21"/>
          <w:szCs w:val="21"/>
        </w:rPr>
        <w:t>（粘贴此处）</w:t>
      </w:r>
    </w:p>
    <w:p>
      <w:pPr>
        <w:spacing w:line="560" w:lineRule="exact"/>
        <w:ind w:firstLine="2003" w:firstLineChars="950"/>
        <w:rPr>
          <w:rFonts w:hint="eastAsia" w:ascii="宋体" w:hAnsi="宋体" w:eastAsia="宋体" w:cs="宋体"/>
          <w:b/>
          <w:bCs/>
          <w:sz w:val="21"/>
          <w:szCs w:val="21"/>
        </w:rPr>
      </w:pPr>
    </w:p>
    <w:p>
      <w:pPr>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注:参加</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时</w:t>
      </w:r>
      <w:r>
        <w:rPr>
          <w:rFonts w:hint="eastAsia" w:ascii="宋体" w:hAnsi="宋体" w:eastAsia="宋体" w:cs="宋体"/>
          <w:b/>
          <w:bCs/>
          <w:sz w:val="21"/>
          <w:szCs w:val="21"/>
          <w:lang w:eastAsia="zh-CN"/>
        </w:rPr>
        <w:t>法定代表人</w:t>
      </w:r>
      <w:r>
        <w:rPr>
          <w:rFonts w:hint="eastAsia" w:ascii="宋体" w:hAnsi="宋体" w:eastAsia="宋体" w:cs="宋体"/>
          <w:b/>
          <w:bCs/>
          <w:sz w:val="21"/>
          <w:szCs w:val="21"/>
        </w:rPr>
        <w:t>将身份证原件带至谈判现场备查。</w:t>
      </w:r>
    </w:p>
    <w:p>
      <w:pPr>
        <w:spacing w:line="560" w:lineRule="exact"/>
        <w:ind w:firstLine="422" w:firstLineChars="200"/>
        <w:rPr>
          <w:rFonts w:hint="eastAsia" w:ascii="宋体" w:hAnsi="宋体" w:eastAsia="宋体" w:cs="宋体"/>
          <w:b/>
          <w:bCs/>
          <w:sz w:val="21"/>
          <w:szCs w:val="21"/>
        </w:rPr>
      </w:pPr>
    </w:p>
    <w:p>
      <w:pPr>
        <w:spacing w:line="560" w:lineRule="exact"/>
        <w:jc w:val="center"/>
        <w:rPr>
          <w:rFonts w:hint="eastAsia" w:ascii="宋体" w:hAnsi="宋体" w:eastAsia="宋体" w:cs="宋体"/>
          <w:b/>
          <w:bCs/>
          <w:sz w:val="21"/>
          <w:szCs w:val="21"/>
        </w:rPr>
      </w:pP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2、授权委托书</w:t>
      </w:r>
    </w:p>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（非</w:t>
      </w:r>
      <w:r>
        <w:rPr>
          <w:rFonts w:hint="eastAsia" w:ascii="宋体" w:hAnsi="宋体" w:eastAsia="宋体" w:cs="宋体"/>
          <w:color w:val="000000"/>
          <w:sz w:val="21"/>
          <w:szCs w:val="21"/>
          <w:lang w:eastAsia="zh-CN"/>
        </w:rPr>
        <w:t>法定代表人</w:t>
      </w:r>
      <w:r>
        <w:rPr>
          <w:rFonts w:hint="eastAsia" w:ascii="宋体" w:hAnsi="宋体" w:eastAsia="宋体" w:cs="宋体"/>
          <w:color w:val="000000"/>
          <w:sz w:val="21"/>
          <w:szCs w:val="21"/>
        </w:rPr>
        <w:t>参加</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，须出示此证明）</w:t>
      </w:r>
    </w:p>
    <w:p>
      <w:pPr>
        <w:spacing w:line="560" w:lineRule="exact"/>
        <w:jc w:val="center"/>
        <w:rPr>
          <w:rFonts w:hint="eastAsia" w:ascii="宋体" w:hAnsi="宋体" w:eastAsia="宋体" w:cs="宋体"/>
          <w:b/>
          <w:bCs/>
          <w:sz w:val="21"/>
          <w:szCs w:val="21"/>
        </w:rPr>
      </w:pP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兹授权</w:t>
      </w:r>
      <w:r>
        <w:rPr>
          <w:rFonts w:hint="eastAsia" w:ascii="宋体" w:hAnsi="宋体" w:eastAsia="宋体" w:cs="宋体"/>
          <w:sz w:val="21"/>
          <w:szCs w:val="21"/>
          <w:u w:val="single"/>
        </w:rPr>
        <w:t xml:space="preserve">               （</w:t>
      </w:r>
      <w:r>
        <w:rPr>
          <w:rFonts w:hint="eastAsia" w:ascii="宋体" w:hAnsi="宋体" w:eastAsia="宋体" w:cs="宋体"/>
          <w:sz w:val="21"/>
          <w:szCs w:val="21"/>
        </w:rPr>
        <w:t>被授权人的姓名）代表我公司参加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项目的采购活动，全权处理一切与该项目</w:t>
      </w:r>
      <w:r>
        <w:rPr>
          <w:rFonts w:hint="eastAsia" w:ascii="宋体" w:hAnsi="宋体" w:eastAsia="宋体" w:cs="宋体"/>
          <w:sz w:val="21"/>
          <w:szCs w:val="21"/>
          <w:lang w:eastAsia="zh-CN"/>
        </w:rPr>
        <w:t>竞争性谈判</w:t>
      </w:r>
      <w:r>
        <w:rPr>
          <w:rFonts w:hint="eastAsia" w:ascii="宋体" w:hAnsi="宋体" w:eastAsia="宋体" w:cs="宋体"/>
          <w:sz w:val="21"/>
          <w:szCs w:val="21"/>
        </w:rPr>
        <w:t>有关的事务。其在办理上述事宜过程中所签署的所有文件我公司均予以承认。</w:t>
      </w:r>
    </w:p>
    <w:p>
      <w:pPr>
        <w:snapToGrid w:val="0"/>
        <w:spacing w:line="520" w:lineRule="exact"/>
        <w:ind w:left="1"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snapToGrid w:val="0"/>
        <w:spacing w:line="560" w:lineRule="exact"/>
        <w:ind w:firstLine="420" w:firstLineChars="200"/>
        <w:rPr>
          <w:rFonts w:hint="eastAsia" w:ascii="宋体" w:hAnsi="宋体" w:eastAsia="宋体" w:cs="宋体"/>
          <w:color w:val="FF00FF"/>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附：被授权人情况：</w:t>
      </w:r>
    </w:p>
    <w:p>
      <w:pPr>
        <w:spacing w:line="560" w:lineRule="exact"/>
        <w:rPr>
          <w:rFonts w:hint="eastAsia" w:ascii="宋体" w:hAnsi="宋体" w:eastAsia="宋体" w:cs="宋体"/>
          <w:sz w:val="21"/>
          <w:szCs w:val="21"/>
          <w:u w:val="single"/>
        </w:rPr>
      </w:pP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性别：</w:t>
      </w:r>
      <w:r>
        <w:rPr>
          <w:rFonts w:hint="eastAsia" w:ascii="宋体" w:hAnsi="宋体" w:eastAsia="宋体" w:cs="宋体"/>
          <w:sz w:val="21"/>
          <w:szCs w:val="21"/>
          <w:u w:val="single"/>
        </w:rPr>
        <w:t xml:space="preserve">    </w:t>
      </w:r>
      <w:r>
        <w:rPr>
          <w:rFonts w:hint="eastAsia" w:ascii="宋体" w:hAnsi="宋体" w:eastAsia="宋体" w:cs="宋体"/>
          <w:sz w:val="21"/>
          <w:szCs w:val="21"/>
        </w:rPr>
        <w:t>年龄：</w:t>
      </w:r>
      <w:r>
        <w:rPr>
          <w:rFonts w:hint="eastAsia" w:ascii="宋体" w:hAnsi="宋体" w:eastAsia="宋体" w:cs="宋体"/>
          <w:sz w:val="21"/>
          <w:szCs w:val="21"/>
          <w:u w:val="single"/>
        </w:rPr>
        <w:t xml:space="preserve">      </w:t>
      </w:r>
      <w:r>
        <w:rPr>
          <w:rFonts w:hint="eastAsia" w:ascii="宋体" w:hAnsi="宋体" w:eastAsia="宋体" w:cs="宋体"/>
          <w:sz w:val="21"/>
          <w:szCs w:val="21"/>
        </w:rPr>
        <w:t>职务：</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r>
        <w:rPr>
          <w:rFonts w:hint="eastAsia" w:ascii="宋体" w:hAnsi="宋体" w:eastAsia="宋体" w:cs="宋体"/>
          <w:sz w:val="21"/>
          <w:szCs w:val="21"/>
        </w:rPr>
        <w:t>手机：</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r>
        <w:rPr>
          <w:rFonts w:hint="eastAsia" w:ascii="宋体" w:hAnsi="宋体" w:eastAsia="宋体" w:cs="宋体"/>
          <w:sz w:val="21"/>
          <w:szCs w:val="21"/>
        </w:rPr>
        <w:t xml:space="preserve">单位名称（公章）            </w:t>
      </w:r>
      <w:r>
        <w:rPr>
          <w:rFonts w:hint="eastAsia" w:ascii="宋体" w:hAnsi="宋体" w:eastAsia="宋体" w:cs="宋体"/>
          <w:sz w:val="21"/>
          <w:szCs w:val="21"/>
          <w:lang w:eastAsia="zh-CN"/>
        </w:rPr>
        <w:t>法定代表人</w:t>
      </w:r>
      <w:r>
        <w:rPr>
          <w:rFonts w:hint="eastAsia" w:ascii="宋体" w:hAnsi="宋体" w:eastAsia="宋体" w:cs="宋体"/>
          <w:sz w:val="21"/>
          <w:szCs w:val="21"/>
        </w:rPr>
        <w:t xml:space="preserve">（签字或盖章） </w:t>
      </w:r>
    </w:p>
    <w:p>
      <w:pPr>
        <w:spacing w:line="560" w:lineRule="exact"/>
        <w:ind w:firstLine="1050" w:firstLineChars="500"/>
        <w:rPr>
          <w:rFonts w:hint="eastAsia" w:ascii="宋体" w:hAnsi="宋体" w:eastAsia="宋体" w:cs="宋体"/>
          <w:sz w:val="21"/>
          <w:szCs w:val="21"/>
        </w:rPr>
      </w:pPr>
      <w:r>
        <w:rPr>
          <w:rFonts w:hint="eastAsia" w:ascii="宋体" w:hAnsi="宋体" w:eastAsia="宋体" w:cs="宋体"/>
          <w:sz w:val="21"/>
          <w:szCs w:val="21"/>
        </w:rPr>
        <w:t xml:space="preserve">年   月   日                 年   月    日  </w:t>
      </w:r>
    </w:p>
    <w:p>
      <w:pPr>
        <w:spacing w:line="560" w:lineRule="exact"/>
        <w:rPr>
          <w:rFonts w:hint="eastAsia" w:ascii="宋体" w:hAnsi="宋体" w:eastAsia="宋体" w:cs="宋体"/>
          <w:sz w:val="21"/>
          <w:szCs w:val="21"/>
        </w:rPr>
      </w:pPr>
      <w:r>
        <w:rPr>
          <w:rFonts w:hint="eastAsia" w:ascii="宋体" w:hAnsi="宋体" w:eastAsia="宋体" w:cs="宋体"/>
          <w:sz w:val="21"/>
          <w:szCs w:val="21"/>
        </w:rPr>
        <w:t>被授权人身份证复印件</w:t>
      </w:r>
    </w:p>
    <w:p>
      <w:pPr>
        <w:spacing w:line="560" w:lineRule="exact"/>
        <w:ind w:firstLine="422" w:firstLineChars="200"/>
        <w:rPr>
          <w:rFonts w:hint="eastAsia" w:ascii="宋体" w:hAnsi="宋体" w:eastAsia="宋体" w:cs="宋体"/>
          <w:b/>
          <w:bCs/>
          <w:sz w:val="21"/>
          <w:szCs w:val="21"/>
        </w:rPr>
      </w:pPr>
    </w:p>
    <w:p>
      <w:pPr>
        <w:spacing w:line="560" w:lineRule="exact"/>
        <w:ind w:firstLine="422" w:firstLineChars="200"/>
        <w:rPr>
          <w:rFonts w:hint="eastAsia" w:ascii="宋体" w:hAnsi="宋体" w:eastAsia="宋体" w:cs="宋体"/>
          <w:b/>
          <w:bCs/>
          <w:sz w:val="21"/>
          <w:szCs w:val="21"/>
        </w:rPr>
      </w:pPr>
    </w:p>
    <w:p>
      <w:pPr>
        <w:spacing w:line="560" w:lineRule="exact"/>
        <w:ind w:firstLine="1995" w:firstLineChars="950"/>
        <w:rPr>
          <w:rFonts w:hint="eastAsia" w:ascii="宋体" w:hAnsi="宋体" w:eastAsia="宋体" w:cs="宋体"/>
          <w:b/>
          <w:bCs/>
          <w:sz w:val="21"/>
          <w:szCs w:val="21"/>
        </w:rPr>
      </w:pPr>
      <w:r>
        <w:rPr>
          <w:rFonts w:hint="eastAsia" w:ascii="宋体" w:hAnsi="宋体" w:eastAsia="宋体" w:cs="宋体"/>
          <w:sz w:val="21"/>
          <w:szCs w:val="21"/>
        </w:rPr>
        <w:t>（粘贴此处）</w:t>
      </w:r>
    </w:p>
    <w:p>
      <w:pPr>
        <w:spacing w:line="300" w:lineRule="auto"/>
        <w:rPr>
          <w:rFonts w:hint="eastAsia" w:ascii="宋体" w:hAnsi="宋体" w:eastAsia="宋体" w:cs="宋体"/>
          <w:b/>
          <w:sz w:val="21"/>
          <w:szCs w:val="21"/>
        </w:rPr>
      </w:pPr>
      <w:r>
        <w:rPr>
          <w:rFonts w:hint="eastAsia" w:ascii="宋体" w:hAnsi="宋体" w:eastAsia="宋体" w:cs="宋体"/>
          <w:b/>
          <w:bCs/>
          <w:sz w:val="21"/>
          <w:szCs w:val="21"/>
        </w:rPr>
        <w:t>注:参加</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时被授权人将身份证原件带至谈判现场备查。</w:t>
      </w:r>
    </w:p>
    <w:p>
      <w:pPr>
        <w:spacing w:line="300" w:lineRule="auto"/>
        <w:rPr>
          <w:rFonts w:hint="eastAsia" w:ascii="宋体" w:hAnsi="宋体" w:eastAsia="宋体" w:cs="宋体"/>
          <w:b/>
          <w:sz w:val="21"/>
          <w:szCs w:val="21"/>
        </w:rPr>
      </w:pPr>
      <w:r>
        <w:rPr>
          <w:rFonts w:hint="eastAsia" w:ascii="宋体" w:hAnsi="宋体" w:eastAsia="宋体" w:cs="宋体"/>
          <w:b/>
          <w:sz w:val="21"/>
          <w:szCs w:val="21"/>
        </w:rPr>
        <w:t xml:space="preserve">        </w:t>
      </w:r>
    </w:p>
    <w:p>
      <w:pPr>
        <w:snapToGrid w:val="0"/>
        <w:spacing w:before="492" w:beforeLines="150" w:after="164" w:afterLines="50" w:line="420" w:lineRule="exact"/>
        <w:jc w:val="center"/>
        <w:outlineLvl w:val="4"/>
        <w:rPr>
          <w:rFonts w:hint="eastAsia" w:ascii="宋体" w:hAnsi="宋体" w:cs="宋体"/>
          <w:b/>
          <w:bCs/>
          <w:sz w:val="28"/>
          <w:szCs w:val="28"/>
        </w:rPr>
      </w:pPr>
      <w:r>
        <w:rPr>
          <w:rFonts w:hint="eastAsia" w:ascii="宋体" w:hAnsi="宋体" w:eastAsia="宋体" w:cs="宋体"/>
          <w:b/>
          <w:sz w:val="21"/>
          <w:szCs w:val="21"/>
        </w:rPr>
        <w:br w:type="page"/>
      </w:r>
      <w:r>
        <w:rPr>
          <w:rFonts w:hint="eastAsia" w:ascii="宋体" w:hAnsi="宋体" w:cs="宋体"/>
          <w:b/>
          <w:bCs/>
          <w:sz w:val="28"/>
          <w:szCs w:val="28"/>
        </w:rPr>
        <w:t>3、无重大违法记录声明</w:t>
      </w:r>
    </w:p>
    <w:p>
      <w:pPr>
        <w:snapToGrid w:val="0"/>
        <w:spacing w:line="360" w:lineRule="auto"/>
        <w:rPr>
          <w:rFonts w:hint="eastAsia" w:ascii="宋体" w:hAnsi="宋体" w:cs="宋体"/>
          <w:bCs/>
          <w:sz w:val="24"/>
          <w:szCs w:val="24"/>
        </w:rPr>
      </w:pPr>
      <w:r>
        <w:rPr>
          <w:rFonts w:hint="eastAsia" w:ascii="宋体" w:hAnsi="宋体" w:cs="宋体"/>
          <w:szCs w:val="24"/>
          <w:u w:val="single"/>
        </w:rPr>
        <w:t xml:space="preserve">                </w:t>
      </w:r>
      <w:r>
        <w:rPr>
          <w:rFonts w:hint="eastAsia" w:ascii="宋体" w:hAnsi="宋体" w:cs="宋体"/>
          <w:bCs/>
          <w:sz w:val="24"/>
          <w:szCs w:val="24"/>
        </w:rPr>
        <w:t>：</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我单位</w:t>
      </w:r>
      <w:r>
        <w:rPr>
          <w:rFonts w:hint="eastAsia" w:ascii="宋体" w:hAnsi="宋体" w:cs="宋体"/>
          <w:color w:val="000000"/>
          <w:sz w:val="24"/>
          <w:szCs w:val="24"/>
          <w:u w:val="single"/>
        </w:rPr>
        <w:t xml:space="preserve">               </w:t>
      </w:r>
      <w:r>
        <w:rPr>
          <w:rFonts w:hint="eastAsia" w:ascii="宋体" w:hAnsi="宋体" w:cs="宋体"/>
          <w:color w:val="000000"/>
          <w:sz w:val="24"/>
          <w:szCs w:val="24"/>
        </w:rPr>
        <w:t>（供应商名称）郑重声明：</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参加政府采购活动前3年内在经营活动中</w:t>
      </w:r>
      <w:r>
        <w:rPr>
          <w:rFonts w:hint="eastAsia" w:ascii="宋体" w:hAnsi="宋体" w:cs="宋体"/>
          <w:color w:val="000000"/>
          <w:sz w:val="24"/>
          <w:szCs w:val="24"/>
          <w:u w:val="single"/>
        </w:rPr>
        <w:t xml:space="preserve">        </w:t>
      </w:r>
      <w:r>
        <w:rPr>
          <w:rFonts w:hint="eastAsia" w:ascii="宋体" w:hAnsi="宋体" w:cs="宋体"/>
          <w:color w:val="000000"/>
          <w:sz w:val="24"/>
          <w:szCs w:val="24"/>
        </w:rPr>
        <w:t>（在下划线上如实填写：有或没有）重大违法记录。</w:t>
      </w:r>
    </w:p>
    <w:p>
      <w:pPr>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声明人：（公章）</w:t>
      </w:r>
    </w:p>
    <w:p>
      <w:pPr>
        <w:spacing w:line="360" w:lineRule="auto"/>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360" w:lineRule="auto"/>
        <w:jc w:val="center"/>
        <w:outlineLvl w:val="4"/>
        <w:rPr>
          <w:rFonts w:hint="eastAsia" w:ascii="宋体" w:hAnsi="宋体" w:cs="宋体"/>
          <w:b/>
          <w:bCs/>
          <w:sz w:val="28"/>
          <w:szCs w:val="28"/>
        </w:rPr>
      </w:pPr>
    </w:p>
    <w:p>
      <w:pPr>
        <w:snapToGrid w:val="0"/>
        <w:spacing w:line="520" w:lineRule="exact"/>
        <w:jc w:val="center"/>
        <w:outlineLvl w:val="4"/>
        <w:rPr>
          <w:rFonts w:hint="eastAsia"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4、关于资格文件的声明函</w:t>
      </w:r>
    </w:p>
    <w:p>
      <w:pPr>
        <w:pStyle w:val="4"/>
        <w:overflowPunct w:val="0"/>
        <w:spacing w:line="520" w:lineRule="exact"/>
        <w:jc w:val="center"/>
        <w:rPr>
          <w:rFonts w:hint="eastAsia" w:ascii="宋体" w:hAnsi="宋体" w:eastAsia="宋体" w:cs="宋体"/>
          <w:sz w:val="28"/>
          <w:szCs w:val="28"/>
        </w:rPr>
      </w:pPr>
    </w:p>
    <w:p>
      <w:pPr>
        <w:pStyle w:val="4"/>
        <w:overflowPunct w:val="0"/>
        <w:spacing w:line="520" w:lineRule="exact"/>
        <w:ind w:firstLine="0"/>
        <w:rPr>
          <w:rFonts w:hint="eastAsia" w:ascii="宋体" w:hAnsi="宋体" w:eastAsia="宋体" w:cs="宋体"/>
          <w:szCs w:val="24"/>
        </w:rPr>
      </w:pPr>
      <w:r>
        <w:rPr>
          <w:rFonts w:hint="eastAsia" w:ascii="宋体" w:hAnsi="宋体" w:eastAsia="宋体" w:cs="宋体"/>
          <w:sz w:val="28"/>
          <w:szCs w:val="28"/>
        </w:rPr>
        <w:t xml:space="preserve"> </w:t>
      </w:r>
      <w:r>
        <w:rPr>
          <w:rFonts w:hint="eastAsia" w:ascii="宋体" w:hAnsi="宋体" w:eastAsia="宋体" w:cs="宋体"/>
          <w:szCs w:val="24"/>
          <w:u w:val="single"/>
        </w:rPr>
        <w:t xml:space="preserve">                   </w:t>
      </w:r>
      <w:r>
        <w:rPr>
          <w:rFonts w:hint="eastAsia" w:ascii="宋体" w:hAnsi="宋体" w:eastAsia="宋体" w:cs="宋体"/>
          <w:szCs w:val="24"/>
        </w:rPr>
        <w:t>：</w:t>
      </w:r>
    </w:p>
    <w:p>
      <w:pPr>
        <w:pStyle w:val="4"/>
        <w:overflowPunct w:val="0"/>
        <w:spacing w:line="520" w:lineRule="exact"/>
        <w:ind w:firstLine="660"/>
        <w:rPr>
          <w:rFonts w:hint="eastAsia"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eastAsia="宋体" w:cs="宋体"/>
          <w:szCs w:val="24"/>
          <w:u w:val="single"/>
        </w:rPr>
        <w:t xml:space="preserve">            </w:t>
      </w:r>
      <w:r>
        <w:rPr>
          <w:rFonts w:hint="eastAsia" w:ascii="宋体" w:hAnsi="宋体" w:eastAsia="宋体" w:cs="宋体"/>
          <w:szCs w:val="24"/>
        </w:rPr>
        <w:t>（招标项目名称)招标活动进行</w:t>
      </w:r>
      <w:r>
        <w:rPr>
          <w:rFonts w:hint="eastAsia" w:ascii="宋体" w:hAnsi="宋体" w:eastAsia="宋体" w:cs="宋体"/>
          <w:szCs w:val="24"/>
          <w:lang w:eastAsia="zh-CN"/>
        </w:rPr>
        <w:t>谈判</w:t>
      </w:r>
      <w:r>
        <w:rPr>
          <w:rFonts w:hint="eastAsia" w:ascii="宋体" w:hAnsi="宋体" w:eastAsia="宋体" w:cs="宋体"/>
          <w:szCs w:val="24"/>
        </w:rPr>
        <w:t>。本公司所提交的</w:t>
      </w:r>
      <w:r>
        <w:rPr>
          <w:rFonts w:hint="eastAsia" w:ascii="宋体" w:hAnsi="宋体" w:eastAsia="宋体" w:cs="宋体"/>
          <w:szCs w:val="24"/>
          <w:lang w:eastAsia="zh-CN"/>
        </w:rPr>
        <w:t>谈判</w:t>
      </w:r>
      <w:r>
        <w:rPr>
          <w:rFonts w:hint="eastAsia" w:ascii="宋体" w:hAnsi="宋体" w:eastAsia="宋体" w:cs="宋体"/>
          <w:szCs w:val="24"/>
        </w:rPr>
        <w:t>响应文件中所有关于资格的文件、证明和陈述均是真实的、准确的。若与真实情况不符，本公司愿意承担由此而产生的一切后果。</w:t>
      </w:r>
    </w:p>
    <w:p>
      <w:pPr>
        <w:pStyle w:val="4"/>
        <w:overflowPunct w:val="0"/>
        <w:spacing w:line="520" w:lineRule="exact"/>
        <w:rPr>
          <w:rFonts w:hint="eastAsia" w:ascii="宋体" w:hAnsi="宋体" w:eastAsia="宋体" w:cs="宋体"/>
          <w:szCs w:val="24"/>
        </w:rPr>
      </w:pPr>
    </w:p>
    <w:p>
      <w:pPr>
        <w:pStyle w:val="4"/>
        <w:overflowPunct w:val="0"/>
        <w:spacing w:line="520" w:lineRule="exact"/>
        <w:rPr>
          <w:rFonts w:hint="eastAsia" w:ascii="宋体" w:hAnsi="宋体" w:eastAsia="宋体" w:cs="宋体"/>
          <w:szCs w:val="24"/>
        </w:rPr>
      </w:pPr>
    </w:p>
    <w:p>
      <w:pPr>
        <w:pStyle w:val="4"/>
        <w:overflowPunct w:val="0"/>
        <w:spacing w:line="520" w:lineRule="exact"/>
        <w:rPr>
          <w:rFonts w:hint="eastAsia" w:ascii="宋体" w:hAnsi="宋体" w:eastAsia="宋体" w:cs="宋体"/>
          <w:szCs w:val="24"/>
        </w:rPr>
      </w:pPr>
    </w:p>
    <w:p>
      <w:pPr>
        <w:pStyle w:val="4"/>
        <w:overflowPunct w:val="0"/>
        <w:spacing w:line="520" w:lineRule="exact"/>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（供应商）</w:t>
      </w:r>
      <w:r>
        <w:rPr>
          <w:rFonts w:hint="eastAsia" w:ascii="宋体" w:hAnsi="宋体" w:eastAsia="宋体" w:cs="宋体"/>
          <w:szCs w:val="24"/>
          <w:lang w:eastAsia="zh-CN"/>
        </w:rPr>
        <w:t>法定代表人</w:t>
      </w:r>
      <w:r>
        <w:rPr>
          <w:rFonts w:hint="eastAsia" w:ascii="宋体" w:hAnsi="宋体" w:eastAsia="宋体" w:cs="宋体"/>
          <w:szCs w:val="24"/>
        </w:rPr>
        <w:t>（签字或盖章）：</w:t>
      </w:r>
    </w:p>
    <w:p>
      <w:pPr>
        <w:pStyle w:val="4"/>
        <w:overflowPunct w:val="0"/>
        <w:spacing w:line="520" w:lineRule="exact"/>
        <w:ind w:left="1700" w:firstLine="425"/>
        <w:rPr>
          <w:rFonts w:hint="eastAsia" w:ascii="宋体" w:hAnsi="宋体" w:eastAsia="宋体" w:cs="宋体"/>
          <w:szCs w:val="24"/>
        </w:rPr>
      </w:pPr>
    </w:p>
    <w:p>
      <w:pPr>
        <w:pStyle w:val="4"/>
        <w:overflowPunct w:val="0"/>
        <w:spacing w:line="520" w:lineRule="exact"/>
        <w:ind w:left="1700" w:firstLine="425"/>
        <w:rPr>
          <w:rFonts w:hint="eastAsia" w:ascii="宋体" w:hAnsi="宋体" w:eastAsia="宋体" w:cs="宋体"/>
          <w:szCs w:val="24"/>
        </w:rPr>
      </w:pPr>
      <w:r>
        <w:rPr>
          <w:rFonts w:hint="eastAsia" w:ascii="宋体" w:hAnsi="宋体" w:eastAsia="宋体" w:cs="宋体"/>
          <w:szCs w:val="24"/>
        </w:rPr>
        <w:t xml:space="preserve">        （供应商）公章：</w:t>
      </w:r>
    </w:p>
    <w:p>
      <w:pPr>
        <w:pStyle w:val="4"/>
        <w:overflowPunct w:val="0"/>
        <w:spacing w:line="520" w:lineRule="exact"/>
        <w:rPr>
          <w:rFonts w:hint="eastAsia" w:ascii="宋体" w:hAnsi="宋体" w:eastAsia="宋体" w:cs="宋体"/>
          <w:szCs w:val="24"/>
        </w:rPr>
      </w:pPr>
      <w:r>
        <w:rPr>
          <w:rFonts w:hint="eastAsia" w:ascii="宋体" w:hAnsi="宋体" w:eastAsia="宋体" w:cs="宋体"/>
          <w:szCs w:val="24"/>
        </w:rPr>
        <w:t xml:space="preserve">               </w:t>
      </w:r>
    </w:p>
    <w:p>
      <w:pPr>
        <w:pStyle w:val="4"/>
        <w:overflowPunct w:val="0"/>
        <w:spacing w:line="520" w:lineRule="exact"/>
        <w:ind w:right="560"/>
        <w:rPr>
          <w:rFonts w:hint="eastAsia"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rPr>
          <w:rFonts w:hint="eastAsia" w:ascii="宋体" w:hAnsi="宋体" w:eastAsia="宋体" w:cs="宋体"/>
          <w:b/>
          <w:sz w:val="21"/>
          <w:szCs w:val="21"/>
        </w:rPr>
      </w:pPr>
    </w:p>
    <w:p>
      <w:pPr>
        <w:spacing w:line="300" w:lineRule="auto"/>
        <w:jc w:val="left"/>
        <w:rPr>
          <w:rFonts w:hint="eastAsia" w:ascii="宋体" w:hAnsi="宋体" w:eastAsia="宋体" w:cs="宋体"/>
          <w:sz w:val="21"/>
          <w:szCs w:val="21"/>
        </w:rPr>
      </w:pPr>
      <w:r>
        <w:rPr>
          <w:rFonts w:hint="eastAsia" w:ascii="宋体" w:hAnsi="宋体" w:eastAsia="宋体" w:cs="宋体"/>
          <w:b/>
          <w:sz w:val="21"/>
          <w:szCs w:val="21"/>
        </w:rPr>
        <w:br w:type="page"/>
      </w:r>
      <w:r>
        <w:rPr>
          <w:rFonts w:hint="eastAsia" w:ascii="宋体" w:hAnsi="宋体" w:eastAsia="宋体" w:cs="宋体"/>
          <w:b/>
          <w:sz w:val="28"/>
          <w:szCs w:val="28"/>
        </w:rPr>
        <w:t>二、技术谈判响应文件相关的格式文件及表格</w:t>
      </w:r>
    </w:p>
    <w:p>
      <w:pPr>
        <w:spacing w:line="560" w:lineRule="exact"/>
        <w:jc w:val="center"/>
        <w:rPr>
          <w:rFonts w:hint="eastAsia" w:ascii="宋体" w:hAnsi="宋体" w:eastAsia="宋体" w:cs="宋体"/>
          <w:sz w:val="28"/>
          <w:szCs w:val="28"/>
        </w:rPr>
      </w:pPr>
    </w:p>
    <w:p>
      <w:pPr>
        <w:spacing w:line="560" w:lineRule="exact"/>
        <w:jc w:val="center"/>
        <w:rPr>
          <w:rFonts w:hint="eastAsia" w:ascii="宋体" w:hAnsi="宋体" w:eastAsia="宋体" w:cs="宋体"/>
          <w:sz w:val="28"/>
          <w:szCs w:val="28"/>
        </w:rPr>
      </w:pPr>
      <w:r>
        <w:rPr>
          <w:rFonts w:hint="eastAsia" w:ascii="宋体" w:hAnsi="宋体" w:eastAsia="宋体" w:cs="宋体"/>
          <w:sz w:val="28"/>
          <w:szCs w:val="28"/>
        </w:rPr>
        <w:t>1、投标响应函（格式不得变动）</w:t>
      </w:r>
    </w:p>
    <w:p>
      <w:pPr>
        <w:spacing w:line="500" w:lineRule="exact"/>
        <w:rPr>
          <w:rFonts w:hint="eastAsia" w:ascii="宋体" w:hAnsi="宋体" w:eastAsia="宋体" w:cs="宋体"/>
          <w:sz w:val="21"/>
          <w:szCs w:val="21"/>
        </w:rPr>
      </w:pPr>
      <w:r>
        <w:rPr>
          <w:rFonts w:hint="eastAsia" w:ascii="宋体" w:hAnsi="宋体" w:cs="宋体"/>
          <w:sz w:val="21"/>
          <w:szCs w:val="21"/>
          <w:lang w:eastAsia="zh-CN"/>
        </w:rPr>
        <w:t>江苏省南通市人民检察院</w:t>
      </w:r>
      <w:r>
        <w:rPr>
          <w:rFonts w:hint="eastAsia" w:ascii="宋体" w:hAnsi="宋体" w:eastAsia="宋体" w:cs="宋体"/>
          <w:sz w:val="21"/>
          <w:szCs w:val="21"/>
        </w:rPr>
        <w:t>：</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依据贵单位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（采购项目名称)项目竞争性谈判采购的邀请，我方授权</w:t>
      </w:r>
      <w:r>
        <w:rPr>
          <w:rFonts w:hint="eastAsia" w:ascii="宋体" w:hAnsi="宋体" w:eastAsia="宋体" w:cs="宋体"/>
          <w:sz w:val="21"/>
          <w:szCs w:val="21"/>
          <w:u w:val="single"/>
        </w:rPr>
        <w:t xml:space="preserve">    </w:t>
      </w: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（职务）为全权代表参加该项目的</w:t>
      </w:r>
      <w:r>
        <w:rPr>
          <w:rFonts w:hint="eastAsia" w:ascii="宋体" w:hAnsi="宋体" w:eastAsia="宋体" w:cs="宋体"/>
          <w:sz w:val="21"/>
          <w:szCs w:val="21"/>
          <w:lang w:eastAsia="zh-CN"/>
        </w:rPr>
        <w:t>谈判</w:t>
      </w:r>
      <w:r>
        <w:rPr>
          <w:rFonts w:hint="eastAsia" w:ascii="宋体" w:hAnsi="宋体" w:eastAsia="宋体" w:cs="宋体"/>
          <w:sz w:val="21"/>
          <w:szCs w:val="21"/>
        </w:rPr>
        <w:t>，全权处理本次</w:t>
      </w:r>
      <w:r>
        <w:rPr>
          <w:rFonts w:hint="eastAsia" w:ascii="宋体" w:hAnsi="宋体" w:eastAsia="宋体" w:cs="宋体"/>
          <w:sz w:val="21"/>
          <w:szCs w:val="21"/>
          <w:lang w:eastAsia="zh-CN"/>
        </w:rPr>
        <w:t>谈判</w:t>
      </w:r>
      <w:r>
        <w:rPr>
          <w:rFonts w:hint="eastAsia" w:ascii="宋体" w:hAnsi="宋体" w:eastAsia="宋体" w:cs="宋体"/>
          <w:sz w:val="21"/>
          <w:szCs w:val="21"/>
        </w:rPr>
        <w:t>的有关事宜。同时，我公司声明如下：</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1、同意并接受谈判文件的各项要求，遵守谈判文件中的各项规定，按谈判文件的要求提供报价。</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2、我公司已经详细阅读了全部谈判文件及其附件，我方已完全清晰理解谈判文件的要求，不存在任何含糊不清和误解之处，同意放弃对这些文件所提出的异议和质疑的权利。</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3、我公司已毫无保留地向贵方提供一切所需的证明材料。</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4、我公司承诺在本次</w:t>
      </w:r>
      <w:r>
        <w:rPr>
          <w:rFonts w:hint="eastAsia" w:ascii="宋体" w:hAnsi="宋体" w:eastAsia="宋体" w:cs="宋体"/>
          <w:sz w:val="21"/>
          <w:szCs w:val="21"/>
          <w:lang w:eastAsia="zh-CN"/>
        </w:rPr>
        <w:t>谈判</w:t>
      </w:r>
      <w:r>
        <w:rPr>
          <w:rFonts w:hint="eastAsia" w:ascii="宋体" w:hAnsi="宋体" w:eastAsia="宋体" w:cs="宋体"/>
          <w:sz w:val="21"/>
          <w:szCs w:val="21"/>
        </w:rPr>
        <w:t>响应中提供的一切文件，无论是原件还是复印件均真实有效，绝无任何虚假、伪造和夸大的成份。否则，愿承担相应的后果和法律责任。</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5、我公司尊重</w:t>
      </w:r>
      <w:r>
        <w:rPr>
          <w:rFonts w:hint="eastAsia" w:ascii="宋体" w:hAnsi="宋体" w:eastAsia="宋体" w:cs="宋体"/>
          <w:sz w:val="21"/>
          <w:szCs w:val="21"/>
          <w:lang w:eastAsia="zh-CN"/>
        </w:rPr>
        <w:t>谈判</w:t>
      </w:r>
      <w:r>
        <w:rPr>
          <w:rFonts w:hint="eastAsia" w:ascii="宋体" w:hAnsi="宋体" w:eastAsia="宋体" w:cs="宋体"/>
          <w:sz w:val="21"/>
          <w:szCs w:val="21"/>
        </w:rPr>
        <w:t>小组所作的评定结果，同时清楚理解到报价最低并非意味着必定获得成交资格。</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6、一旦我方成交,我方将根据采购文件的要求和</w:t>
      </w:r>
      <w:r>
        <w:rPr>
          <w:rFonts w:hint="eastAsia" w:ascii="宋体" w:hAnsi="宋体" w:eastAsia="宋体" w:cs="宋体"/>
          <w:sz w:val="21"/>
          <w:szCs w:val="21"/>
          <w:lang w:eastAsia="zh-CN"/>
        </w:rPr>
        <w:t>谈判</w:t>
      </w:r>
      <w:r>
        <w:rPr>
          <w:rFonts w:hint="eastAsia" w:ascii="宋体" w:hAnsi="宋体" w:eastAsia="宋体" w:cs="宋体"/>
          <w:sz w:val="21"/>
          <w:szCs w:val="21"/>
        </w:rPr>
        <w:t>响应文件的承诺签订合同，严格履行合同的责任和义务,并保证在采购文件规定的时间完成项目，交付采购人验收、使用。</w:t>
      </w:r>
    </w:p>
    <w:p>
      <w:pPr>
        <w:spacing w:line="500" w:lineRule="exact"/>
        <w:ind w:firstLine="1680" w:firstLineChars="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spacing w:line="500" w:lineRule="exact"/>
        <w:ind w:firstLine="1680" w:firstLineChars="800"/>
        <w:rPr>
          <w:rFonts w:hint="eastAsia" w:ascii="宋体" w:hAnsi="宋体" w:eastAsia="宋体" w:cs="宋体"/>
          <w:sz w:val="21"/>
          <w:szCs w:val="21"/>
          <w:lang w:val="en-US" w:eastAsia="zh-CN"/>
        </w:rPr>
      </w:pPr>
    </w:p>
    <w:p>
      <w:pPr>
        <w:spacing w:line="500" w:lineRule="exact"/>
        <w:ind w:firstLine="1680" w:firstLineChars="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谈判响应单位：</w:t>
      </w:r>
      <w:r>
        <w:rPr>
          <w:rFonts w:hint="eastAsia" w:ascii="宋体" w:hAnsi="宋体" w:eastAsia="宋体" w:cs="宋体"/>
          <w:sz w:val="21"/>
          <w:szCs w:val="21"/>
          <w:u w:val="single"/>
        </w:rPr>
        <w:t xml:space="preserve">                    </w:t>
      </w:r>
      <w:r>
        <w:rPr>
          <w:rFonts w:hint="eastAsia" w:ascii="宋体" w:hAnsi="宋体" w:eastAsia="宋体" w:cs="宋体"/>
          <w:sz w:val="21"/>
          <w:szCs w:val="21"/>
        </w:rPr>
        <w:t>（加盖公章）</w:t>
      </w:r>
    </w:p>
    <w:p>
      <w:pPr>
        <w:spacing w:line="500" w:lineRule="exact"/>
        <w:ind w:firstLine="1680" w:firstLineChars="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法定代表人</w:t>
      </w:r>
      <w:r>
        <w:rPr>
          <w:rFonts w:hint="eastAsia" w:ascii="宋体" w:hAnsi="宋体" w:eastAsia="宋体" w:cs="宋体"/>
          <w:sz w:val="21"/>
          <w:szCs w:val="21"/>
        </w:rPr>
        <w:t>或被授权人：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（签字或盖章） </w:t>
      </w:r>
    </w:p>
    <w:p>
      <w:pPr>
        <w:spacing w:line="500" w:lineRule="exact"/>
        <w:ind w:firstLine="3780" w:firstLineChars="1800"/>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spacing w:line="500" w:lineRule="exact"/>
        <w:ind w:firstLine="3780" w:firstLineChars="1800"/>
        <w:rPr>
          <w:rFonts w:hint="eastAsia" w:ascii="宋体" w:hAnsi="宋体" w:eastAsia="宋体" w:cs="宋体"/>
          <w:sz w:val="21"/>
          <w:szCs w:val="21"/>
        </w:rPr>
      </w:pPr>
    </w:p>
    <w:p>
      <w:pPr>
        <w:spacing w:line="560" w:lineRule="exact"/>
        <w:ind w:firstLine="422" w:firstLineChars="200"/>
        <w:rPr>
          <w:rFonts w:hint="eastAsia" w:ascii="宋体" w:hAnsi="宋体" w:eastAsia="宋体" w:cs="宋体"/>
          <w:b/>
          <w:bCs/>
          <w:sz w:val="21"/>
          <w:szCs w:val="21"/>
        </w:rPr>
      </w:pPr>
    </w:p>
    <w:p>
      <w:pPr>
        <w:tabs>
          <w:tab w:val="left" w:pos="3375"/>
        </w:tabs>
        <w:autoSpaceDE w:val="0"/>
        <w:autoSpaceDN w:val="0"/>
        <w:adjustRightInd w:val="0"/>
        <w:snapToGrid w:val="0"/>
        <w:spacing w:line="560" w:lineRule="exact"/>
        <w:jc w:val="center"/>
        <w:rPr>
          <w:rFonts w:hint="eastAsia" w:ascii="宋体" w:hAnsi="宋体" w:eastAsia="宋体" w:cs="宋体"/>
          <w:b/>
          <w:sz w:val="21"/>
          <w:szCs w:val="21"/>
        </w:rPr>
      </w:pPr>
    </w:p>
    <w:p>
      <w:pPr>
        <w:tabs>
          <w:tab w:val="left" w:pos="3375"/>
        </w:tabs>
        <w:autoSpaceDE w:val="0"/>
        <w:autoSpaceDN w:val="0"/>
        <w:adjustRightInd w:val="0"/>
        <w:snapToGrid w:val="0"/>
        <w:spacing w:line="560" w:lineRule="exact"/>
        <w:jc w:val="center"/>
        <w:rPr>
          <w:rFonts w:hint="eastAsia" w:ascii="宋体" w:hAnsi="宋体" w:eastAsia="宋体" w:cs="宋体"/>
          <w:b/>
          <w:sz w:val="21"/>
          <w:szCs w:val="21"/>
        </w:rPr>
      </w:pPr>
    </w:p>
    <w:p>
      <w:pPr>
        <w:widowControl/>
        <w:jc w:val="left"/>
        <w:rPr>
          <w:rFonts w:hint="eastAsia" w:ascii="宋体" w:hAnsi="宋体" w:eastAsia="宋体" w:cs="宋体"/>
          <w:b/>
          <w:sz w:val="21"/>
          <w:szCs w:val="21"/>
        </w:rPr>
      </w:pPr>
    </w:p>
    <w:p>
      <w:pPr>
        <w:snapToGrid w:val="0"/>
        <w:spacing w:line="520" w:lineRule="exact"/>
        <w:jc w:val="center"/>
        <w:outlineLvl w:val="3"/>
        <w:rPr>
          <w:rFonts w:ascii="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、技术条款响应一览表</w:t>
      </w:r>
    </w:p>
    <w:p>
      <w:pPr>
        <w:numPr>
          <w:ilvl w:val="0"/>
          <w:numId w:val="0"/>
        </w:numPr>
        <w:spacing w:line="360" w:lineRule="auto"/>
        <w:ind w:firstLine="480" w:firstLineChars="200"/>
        <w:rPr>
          <w:rFonts w:hint="eastAsia" w:ascii="宋体" w:hAnsi="宋体" w:cs="宋体"/>
          <w:sz w:val="24"/>
          <w:szCs w:val="24"/>
        </w:rPr>
      </w:pPr>
    </w:p>
    <w:p>
      <w:pPr>
        <w:numPr>
          <w:ilvl w:val="0"/>
          <w:numId w:val="0"/>
        </w:numPr>
        <w:spacing w:line="360" w:lineRule="auto"/>
        <w:ind w:firstLine="480" w:firstLineChars="200"/>
        <w:rPr>
          <w:rFonts w:hint="eastAsia" w:ascii="宋体" w:hAnsi="宋体" w:cs="宋体"/>
          <w:sz w:val="24"/>
          <w:szCs w:val="24"/>
        </w:rPr>
      </w:pPr>
      <w:r>
        <w:rPr>
          <w:rFonts w:hint="eastAsia" w:ascii="宋体" w:hAnsi="宋体" w:cs="宋体"/>
          <w:sz w:val="24"/>
          <w:szCs w:val="24"/>
        </w:rPr>
        <w:t>供应商应响应</w:t>
      </w:r>
      <w:r>
        <w:rPr>
          <w:rFonts w:hint="eastAsia" w:ascii="宋体" w:hAnsi="宋体" w:cs="宋体"/>
          <w:sz w:val="24"/>
          <w:szCs w:val="24"/>
          <w:lang w:eastAsia="zh-CN"/>
        </w:rPr>
        <w:t>谈判</w:t>
      </w:r>
      <w:r>
        <w:rPr>
          <w:rFonts w:hint="eastAsia" w:ascii="宋体" w:hAnsi="宋体" w:cs="宋体"/>
          <w:sz w:val="24"/>
          <w:szCs w:val="24"/>
        </w:rPr>
        <w:t>文件中针对</w:t>
      </w:r>
      <w:r>
        <w:rPr>
          <w:rFonts w:hint="eastAsia" w:ascii="宋体" w:hAnsi="宋体" w:cs="宋体"/>
          <w:sz w:val="24"/>
          <w:szCs w:val="24"/>
          <w:lang w:val="en-US" w:eastAsia="zh-CN"/>
        </w:rPr>
        <w:t>本项目</w:t>
      </w:r>
      <w:r>
        <w:rPr>
          <w:rFonts w:hint="eastAsia" w:ascii="宋体" w:hAnsi="宋体" w:cs="宋体"/>
          <w:sz w:val="24"/>
          <w:szCs w:val="24"/>
        </w:rPr>
        <w:t>提出的</w:t>
      </w:r>
      <w:r>
        <w:rPr>
          <w:rFonts w:hint="eastAsia" w:ascii="宋体" w:hAnsi="宋体" w:cs="宋体"/>
          <w:sz w:val="24"/>
          <w:szCs w:val="24"/>
          <w:lang w:val="en-US" w:eastAsia="zh-CN"/>
        </w:rPr>
        <w:t>相关要求</w:t>
      </w:r>
      <w:r>
        <w:rPr>
          <w:rFonts w:hint="eastAsia" w:ascii="宋体" w:hAnsi="宋体" w:cs="宋体"/>
          <w:sz w:val="24"/>
          <w:szCs w:val="24"/>
        </w:rPr>
        <w:t>；如其所投产品</w:t>
      </w:r>
      <w:r>
        <w:rPr>
          <w:rFonts w:hint="eastAsia" w:ascii="宋体" w:hAnsi="宋体" w:cs="宋体"/>
          <w:sz w:val="24"/>
          <w:szCs w:val="24"/>
          <w:lang w:val="en-US" w:eastAsia="zh-CN"/>
        </w:rPr>
        <w:t>或服务</w:t>
      </w:r>
      <w:r>
        <w:rPr>
          <w:rFonts w:hint="eastAsia" w:ascii="宋体" w:hAnsi="宋体" w:cs="宋体"/>
          <w:sz w:val="24"/>
          <w:szCs w:val="24"/>
        </w:rPr>
        <w:t>与其中某些条款不完全响应时，应在表格中逐条列出，未列出的视同完全响应。</w:t>
      </w:r>
    </w:p>
    <w:tbl>
      <w:tblPr>
        <w:tblStyle w:val="21"/>
        <w:tblW w:w="93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2471"/>
        <w:gridCol w:w="1821"/>
        <w:gridCol w:w="1821"/>
        <w:gridCol w:w="21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r>
              <w:rPr>
                <w:rFonts w:hint="eastAsia" w:ascii="宋体" w:hAnsi="宋体" w:cs="宋体"/>
                <w:b/>
                <w:sz w:val="24"/>
                <w:szCs w:val="24"/>
              </w:rPr>
              <w:t>序号</w:t>
            </w:r>
          </w:p>
        </w:tc>
        <w:tc>
          <w:tcPr>
            <w:tcW w:w="2471" w:type="dxa"/>
            <w:vAlign w:val="top"/>
          </w:tcPr>
          <w:p>
            <w:pPr>
              <w:spacing w:line="360" w:lineRule="exact"/>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项目需求</w:t>
            </w:r>
          </w:p>
        </w:tc>
        <w:tc>
          <w:tcPr>
            <w:tcW w:w="1821" w:type="dxa"/>
            <w:vAlign w:val="center"/>
          </w:tcPr>
          <w:p>
            <w:pPr>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服务响应</w:t>
            </w:r>
          </w:p>
        </w:tc>
        <w:tc>
          <w:tcPr>
            <w:tcW w:w="1821" w:type="dxa"/>
            <w:vAlign w:val="center"/>
          </w:tcPr>
          <w:p>
            <w:pPr>
              <w:jc w:val="center"/>
              <w:rPr>
                <w:rFonts w:ascii="宋体"/>
                <w:b/>
                <w:sz w:val="24"/>
                <w:szCs w:val="24"/>
              </w:rPr>
            </w:pPr>
            <w:r>
              <w:rPr>
                <w:rFonts w:hint="eastAsia" w:ascii="宋体" w:hAnsi="宋体" w:cs="宋体"/>
                <w:b/>
                <w:bCs/>
                <w:sz w:val="24"/>
                <w:szCs w:val="24"/>
              </w:rPr>
              <w:t>偏离</w:t>
            </w:r>
            <w:r>
              <w:rPr>
                <w:rFonts w:ascii="宋体" w:hAnsi="宋体" w:cs="宋体"/>
                <w:b/>
                <w:bCs/>
                <w:sz w:val="24"/>
                <w:szCs w:val="24"/>
              </w:rPr>
              <w:t>/</w:t>
            </w:r>
            <w:r>
              <w:rPr>
                <w:rFonts w:hint="eastAsia" w:ascii="宋体" w:hAnsi="宋体" w:cs="宋体"/>
                <w:b/>
                <w:bCs/>
                <w:sz w:val="24"/>
                <w:szCs w:val="24"/>
              </w:rPr>
              <w:t>响应</w:t>
            </w:r>
          </w:p>
        </w:tc>
        <w:tc>
          <w:tcPr>
            <w:tcW w:w="2109" w:type="dxa"/>
            <w:vAlign w:val="center"/>
          </w:tcPr>
          <w:p>
            <w:pPr>
              <w:jc w:val="center"/>
              <w:rPr>
                <w:rFonts w:ascii="宋体"/>
                <w:b/>
                <w:sz w:val="24"/>
                <w:szCs w:val="24"/>
              </w:rPr>
            </w:pPr>
            <w:r>
              <w:rPr>
                <w:rFonts w:hint="eastAsia" w:ascii="宋体" w:hAnsi="宋体" w:cs="宋体"/>
                <w:b/>
                <w:bCs/>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p>
        </w:tc>
        <w:tc>
          <w:tcPr>
            <w:tcW w:w="247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2109" w:type="dxa"/>
            <w:vAlign w:val="top"/>
          </w:tcPr>
          <w:p>
            <w:pPr>
              <w:spacing w:line="360" w:lineRule="exact"/>
              <w:rPr>
                <w:rFonts w:hint="eastAsia" w:ascii="宋体" w:hAnsi="宋体" w:cs="宋体"/>
                <w:b/>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vAlign w:val="top"/>
          </w:tcPr>
          <w:p>
            <w:pPr>
              <w:spacing w:line="360" w:lineRule="exact"/>
              <w:rPr>
                <w:rFonts w:hint="eastAsia" w:ascii="宋体" w:hAnsi="宋体" w:cs="宋体"/>
                <w:b/>
                <w:sz w:val="24"/>
                <w:szCs w:val="24"/>
              </w:rPr>
            </w:pPr>
            <w:r>
              <w:rPr>
                <w:rFonts w:hint="eastAsia" w:ascii="宋体" w:hAnsi="宋体" w:cs="宋体"/>
                <w:sz w:val="24"/>
                <w:szCs w:val="24"/>
              </w:rPr>
              <w:t>……</w:t>
            </w:r>
          </w:p>
        </w:tc>
        <w:tc>
          <w:tcPr>
            <w:tcW w:w="247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1821" w:type="dxa"/>
            <w:vAlign w:val="top"/>
          </w:tcPr>
          <w:p>
            <w:pPr>
              <w:spacing w:line="360" w:lineRule="exact"/>
              <w:rPr>
                <w:rFonts w:hint="eastAsia" w:ascii="宋体" w:hAnsi="宋体" w:cs="宋体"/>
                <w:b/>
                <w:sz w:val="24"/>
                <w:szCs w:val="24"/>
              </w:rPr>
            </w:pPr>
          </w:p>
        </w:tc>
        <w:tc>
          <w:tcPr>
            <w:tcW w:w="2109" w:type="dxa"/>
            <w:vAlign w:val="top"/>
          </w:tcPr>
          <w:p>
            <w:pPr>
              <w:spacing w:line="360" w:lineRule="exact"/>
              <w:rPr>
                <w:rFonts w:hint="eastAsia" w:ascii="宋体" w:hAnsi="宋体" w:cs="宋体"/>
                <w:b/>
                <w:sz w:val="24"/>
                <w:szCs w:val="24"/>
              </w:rPr>
            </w:pPr>
          </w:p>
        </w:tc>
      </w:tr>
    </w:tbl>
    <w:p>
      <w:pPr>
        <w:spacing w:line="360" w:lineRule="exact"/>
        <w:ind w:firstLine="424" w:firstLineChars="202"/>
        <w:rPr>
          <w:rFonts w:hint="eastAsia" w:ascii="宋体" w:hAnsi="宋体" w:cs="宋体"/>
        </w:rPr>
      </w:pPr>
    </w:p>
    <w:p>
      <w:pPr>
        <w:spacing w:line="360" w:lineRule="exact"/>
        <w:ind w:firstLine="424" w:firstLineChars="202"/>
        <w:rPr>
          <w:rFonts w:ascii="宋体"/>
        </w:rPr>
      </w:pPr>
      <w:r>
        <w:rPr>
          <w:rFonts w:hint="eastAsia" w:ascii="宋体" w:hAnsi="宋体" w:cs="宋体"/>
        </w:rPr>
        <w:t>注：</w:t>
      </w:r>
    </w:p>
    <w:p>
      <w:pPr>
        <w:spacing w:line="360" w:lineRule="exact"/>
        <w:ind w:firstLine="424" w:firstLineChars="202"/>
        <w:rPr>
          <w:rFonts w:ascii="宋体"/>
        </w:rPr>
      </w:pPr>
      <w:r>
        <w:rPr>
          <w:rFonts w:hint="eastAsia" w:ascii="宋体" w:hAnsi="宋体" w:cs="宋体"/>
        </w:rPr>
        <w:t>1、供应商应对照</w:t>
      </w:r>
      <w:r>
        <w:rPr>
          <w:rFonts w:hint="eastAsia" w:ascii="宋体" w:hAnsi="宋体" w:cs="宋体"/>
          <w:lang w:eastAsia="zh-CN"/>
        </w:rPr>
        <w:t>谈判</w:t>
      </w:r>
      <w:r>
        <w:rPr>
          <w:rFonts w:hint="eastAsia" w:ascii="宋体" w:hAnsi="宋体" w:cs="宋体"/>
        </w:rPr>
        <w:t>文件第三章项目需求内的要求，</w:t>
      </w:r>
      <w:r>
        <w:rPr>
          <w:rFonts w:hint="eastAsia" w:ascii="宋体" w:hAnsi="宋体" w:cs="宋体"/>
          <w:b/>
          <w:bCs/>
        </w:rPr>
        <w:t>逐一填写</w:t>
      </w:r>
      <w:r>
        <w:rPr>
          <w:rFonts w:hint="eastAsia" w:ascii="宋体" w:hAnsi="宋体" w:cs="宋体"/>
        </w:rPr>
        <w:t>，</w:t>
      </w:r>
      <w:r>
        <w:rPr>
          <w:rFonts w:hint="eastAsia" w:ascii="宋体" w:hAnsi="宋体" w:cs="宋体"/>
          <w:lang w:eastAsia="zh-CN"/>
        </w:rPr>
        <w:t>谈判</w:t>
      </w:r>
      <w:r>
        <w:rPr>
          <w:rFonts w:hint="eastAsia" w:ascii="宋体" w:hAnsi="宋体" w:cs="宋体"/>
        </w:rPr>
        <w:t>服务与</w:t>
      </w:r>
      <w:r>
        <w:rPr>
          <w:rFonts w:hint="eastAsia" w:ascii="宋体" w:hAnsi="宋体" w:cs="宋体"/>
          <w:lang w:eastAsia="zh-CN"/>
        </w:rPr>
        <w:t>谈判</w:t>
      </w:r>
      <w:r>
        <w:rPr>
          <w:rFonts w:hint="eastAsia" w:ascii="宋体" w:hAnsi="宋体" w:cs="宋体"/>
        </w:rPr>
        <w:t>文件规定的项目要求有偏离的，应在此表中申明与技术要求条文的偏离情况，如有例外请说明。</w:t>
      </w:r>
      <w:r>
        <w:rPr>
          <w:rFonts w:hint="eastAsia" w:ascii="宋体" w:hAnsi="宋体" w:cs="宋体"/>
          <w:b/>
          <w:bCs/>
          <w:u w:val="single"/>
        </w:rPr>
        <w:t>（本项目不接受负偏离应标）</w:t>
      </w:r>
    </w:p>
    <w:p>
      <w:pPr>
        <w:spacing w:line="360" w:lineRule="exact"/>
        <w:ind w:firstLine="424" w:firstLineChars="202"/>
        <w:rPr>
          <w:rFonts w:hint="eastAsia" w:ascii="宋体" w:hAnsi="宋体" w:cs="宋体"/>
        </w:rPr>
      </w:pPr>
      <w:r>
        <w:rPr>
          <w:rFonts w:hint="eastAsia" w:ascii="宋体" w:hAnsi="宋体" w:cs="宋体"/>
        </w:rPr>
        <w:t>2、该表不作为供应商对所投标的物关于技术要求等详细描述和说明的替代。</w:t>
      </w:r>
    </w:p>
    <w:p>
      <w:pPr>
        <w:spacing w:line="360" w:lineRule="exact"/>
        <w:ind w:firstLine="424" w:firstLineChars="202"/>
        <w:rPr>
          <w:rFonts w:ascii="宋体"/>
        </w:rPr>
      </w:pPr>
      <w:r>
        <w:rPr>
          <w:rFonts w:ascii="宋体"/>
        </w:rPr>
        <w:t>3、供应商如果虚假响应，将承担一切可能的风险。</w:t>
      </w:r>
    </w:p>
    <w:p>
      <w:pPr>
        <w:spacing w:line="360" w:lineRule="exact"/>
        <w:ind w:firstLine="424" w:firstLineChars="202"/>
        <w:rPr>
          <w:rFonts w:ascii="宋体"/>
        </w:rPr>
      </w:pPr>
      <w:r>
        <w:rPr>
          <w:rFonts w:ascii="宋体"/>
        </w:rPr>
        <w:t>4、供应商若提供其他增值服务，可以在表中自行据实填写。</w:t>
      </w:r>
    </w:p>
    <w:p>
      <w:pPr>
        <w:spacing w:line="440" w:lineRule="exact"/>
        <w:ind w:firstLine="424" w:firstLineChars="202"/>
        <w:rPr>
          <w:rFonts w:ascii="宋体"/>
        </w:rPr>
      </w:pPr>
      <w:r>
        <w:rPr>
          <w:rFonts w:hint="eastAsia" w:ascii="宋体" w:hAnsi="宋体" w:cs="宋体"/>
        </w:rPr>
        <w:t>供应商：（公章）</w:t>
      </w:r>
    </w:p>
    <w:p>
      <w:pPr>
        <w:spacing w:line="440" w:lineRule="exact"/>
        <w:ind w:firstLine="424" w:firstLineChars="202"/>
        <w:rPr>
          <w:rFonts w:ascii="宋体"/>
        </w:rPr>
      </w:pPr>
      <w:r>
        <w:rPr>
          <w:rFonts w:hint="eastAsia" w:ascii="宋体" w:hAnsi="宋体" w:cs="宋体"/>
          <w:lang w:eastAsia="zh-CN"/>
        </w:rPr>
        <w:t>法定代表人</w:t>
      </w:r>
      <w:r>
        <w:rPr>
          <w:rFonts w:hint="eastAsia" w:ascii="宋体" w:hAnsi="宋体" w:cs="宋体"/>
        </w:rPr>
        <w:t>或被授权人：（签字或盖章）</w:t>
      </w:r>
    </w:p>
    <w:p>
      <w:pPr>
        <w:snapToGrid w:val="0"/>
        <w:spacing w:line="520" w:lineRule="exact"/>
        <w:jc w:val="left"/>
        <w:outlineLvl w:val="3"/>
        <w:rPr>
          <w:rFonts w:ascii="宋体"/>
        </w:rPr>
      </w:pPr>
      <w:r>
        <w:rPr>
          <w:rFonts w:hint="eastAsia" w:ascii="宋体" w:hAnsi="宋体" w:cs="宋体"/>
        </w:rPr>
        <w:t xml:space="preserve">    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tabs>
          <w:tab w:val="left" w:pos="4050"/>
        </w:tabs>
        <w:spacing w:line="500" w:lineRule="exact"/>
        <w:jc w:val="left"/>
        <w:rPr>
          <w:rFonts w:hint="eastAsia" w:ascii="宋体" w:hAnsi="宋体" w:eastAsia="宋体" w:cs="宋体"/>
          <w:b/>
          <w:sz w:val="28"/>
          <w:szCs w:val="28"/>
        </w:rPr>
      </w:pPr>
      <w:r>
        <w:rPr>
          <w:rFonts w:hint="eastAsia" w:ascii="宋体" w:hAnsi="宋体" w:cs="宋体"/>
          <w:b/>
          <w:bCs/>
          <w:sz w:val="24"/>
          <w:szCs w:val="24"/>
        </w:rPr>
        <w:br w:type="page"/>
      </w:r>
      <w:r>
        <w:rPr>
          <w:rFonts w:hint="eastAsia" w:ascii="宋体" w:hAnsi="宋体" w:eastAsia="宋体" w:cs="宋体"/>
          <w:b/>
          <w:sz w:val="28"/>
          <w:szCs w:val="28"/>
        </w:rPr>
        <w:t xml:space="preserve"> 三、商务报价谈判响应文件相关的格式文件及表格</w:t>
      </w:r>
    </w:p>
    <w:p>
      <w:pPr>
        <w:widowControl/>
        <w:spacing w:line="540" w:lineRule="exact"/>
        <w:jc w:val="center"/>
        <w:rPr>
          <w:rFonts w:hint="eastAsia" w:ascii="宋体" w:hAnsi="宋体" w:eastAsia="宋体" w:cs="宋体"/>
          <w:sz w:val="28"/>
          <w:szCs w:val="28"/>
        </w:rPr>
      </w:pPr>
    </w:p>
    <w:p>
      <w:pPr>
        <w:widowControl/>
        <w:spacing w:line="540" w:lineRule="exact"/>
        <w:jc w:val="center"/>
        <w:rPr>
          <w:rFonts w:hint="eastAsia" w:ascii="宋体" w:hAnsi="宋体" w:eastAsia="宋体" w:cs="宋体"/>
          <w:sz w:val="28"/>
          <w:szCs w:val="28"/>
        </w:rPr>
      </w:pPr>
      <w:r>
        <w:rPr>
          <w:rFonts w:hint="eastAsia" w:ascii="宋体" w:hAnsi="宋体" w:eastAsia="宋体" w:cs="宋体"/>
          <w:sz w:val="28"/>
          <w:szCs w:val="28"/>
        </w:rPr>
        <w:t>1、谈判响应报价总表（首次）</w:t>
      </w:r>
    </w:p>
    <w:p>
      <w:pPr>
        <w:snapToGrid w:val="0"/>
        <w:spacing w:line="520" w:lineRule="exact"/>
        <w:rPr>
          <w:rFonts w:hint="eastAsia" w:ascii="宋体" w:hAnsi="宋体" w:eastAsia="宋体" w:cs="宋体"/>
          <w:sz w:val="21"/>
          <w:szCs w:val="21"/>
        </w:rPr>
      </w:pPr>
      <w:r>
        <w:rPr>
          <w:rFonts w:hint="eastAsia" w:ascii="宋体" w:hAnsi="宋体" w:eastAsia="宋体" w:cs="宋体"/>
          <w:sz w:val="21"/>
          <w:szCs w:val="21"/>
        </w:rPr>
        <w:t xml:space="preserve">项目名称： </w:t>
      </w:r>
    </w:p>
    <w:tbl>
      <w:tblPr>
        <w:tblStyle w:val="2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750" w:type="dxa"/>
            <w:vMerge w:val="restart"/>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竞谈总报价</w:t>
            </w:r>
          </w:p>
        </w:tc>
        <w:tc>
          <w:tcPr>
            <w:tcW w:w="6546" w:type="dxa"/>
            <w:vAlign w:val="center"/>
          </w:tcPr>
          <w:p>
            <w:pPr>
              <w:spacing w:line="360" w:lineRule="auto"/>
              <w:jc w:val="left"/>
              <w:rPr>
                <w:rFonts w:hint="eastAsia" w:ascii="宋体" w:hAnsi="宋体" w:eastAsia="宋体" w:cs="宋体"/>
                <w:color w:val="000000"/>
                <w:sz w:val="21"/>
                <w:szCs w:val="21"/>
                <w:u w:val="single"/>
              </w:rPr>
            </w:pPr>
            <w:r>
              <w:rPr>
                <w:rFonts w:hint="eastAsia" w:ascii="宋体" w:hAnsi="宋体" w:eastAsia="宋体" w:cs="宋体"/>
                <w:color w:val="000000"/>
                <w:sz w:val="21"/>
                <w:szCs w:val="21"/>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750" w:type="dxa"/>
            <w:vMerge w:val="continue"/>
            <w:vAlign w:val="center"/>
          </w:tcPr>
          <w:p>
            <w:pPr>
              <w:spacing w:line="480" w:lineRule="auto"/>
              <w:jc w:val="center"/>
              <w:rPr>
                <w:rFonts w:hint="eastAsia" w:ascii="宋体" w:hAnsi="宋体" w:eastAsia="宋体" w:cs="宋体"/>
                <w:color w:val="000000"/>
                <w:sz w:val="21"/>
                <w:szCs w:val="21"/>
              </w:rPr>
            </w:pPr>
          </w:p>
        </w:tc>
        <w:tc>
          <w:tcPr>
            <w:tcW w:w="6546" w:type="dxa"/>
            <w:vAlign w:val="center"/>
          </w:tcPr>
          <w:p>
            <w:pPr>
              <w:spacing w:line="48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0" w:type="dxa"/>
            <w:vMerge w:val="continue"/>
            <w:vAlign w:val="center"/>
          </w:tcPr>
          <w:p>
            <w:pPr>
              <w:spacing w:line="480" w:lineRule="auto"/>
              <w:jc w:val="center"/>
              <w:rPr>
                <w:rFonts w:hint="eastAsia" w:ascii="宋体" w:hAnsi="宋体" w:eastAsia="宋体" w:cs="宋体"/>
                <w:color w:val="000000"/>
                <w:sz w:val="21"/>
                <w:szCs w:val="21"/>
              </w:rPr>
            </w:pPr>
          </w:p>
        </w:tc>
        <w:tc>
          <w:tcPr>
            <w:tcW w:w="6546" w:type="dxa"/>
            <w:vAlign w:val="center"/>
          </w:tcPr>
          <w:p>
            <w:pPr>
              <w:spacing w:line="480" w:lineRule="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工期</w:t>
            </w:r>
            <w:r>
              <w:rPr>
                <w:rFonts w:hint="eastAsia" w:ascii="宋体" w:hAnsi="宋体" w:eastAsia="宋体" w:cs="宋体"/>
                <w:color w:val="000000"/>
                <w:sz w:val="21"/>
                <w:szCs w:val="21"/>
              </w:rPr>
              <w:t>：</w:t>
            </w:r>
          </w:p>
        </w:tc>
      </w:tr>
    </w:tbl>
    <w:p>
      <w:pPr>
        <w:widowControl/>
        <w:topLinePunct/>
        <w:spacing w:line="540" w:lineRule="exact"/>
        <w:ind w:firstLine="420"/>
        <w:rPr>
          <w:rFonts w:hint="eastAsia" w:ascii="宋体" w:hAnsi="宋体" w:eastAsia="宋体" w:cs="宋体"/>
          <w:kern w:val="0"/>
          <w:sz w:val="21"/>
          <w:szCs w:val="21"/>
        </w:rPr>
      </w:pP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谈判响应单位：（盖章）            </w:t>
      </w:r>
    </w:p>
    <w:p>
      <w:pPr>
        <w:widowControl/>
        <w:topLinePunct/>
        <w:spacing w:line="540" w:lineRule="exact"/>
        <w:rPr>
          <w:rFonts w:hint="eastAsia" w:ascii="宋体" w:hAnsi="宋体" w:eastAsia="宋体" w:cs="宋体"/>
          <w:color w:val="000000"/>
          <w:kern w:val="0"/>
          <w:sz w:val="21"/>
          <w:szCs w:val="21"/>
        </w:rPr>
      </w:pPr>
      <w:r>
        <w:rPr>
          <w:rFonts w:hint="eastAsia" w:ascii="宋体" w:hAnsi="宋体" w:eastAsia="宋体" w:cs="宋体"/>
          <w:kern w:val="0"/>
          <w:sz w:val="21"/>
          <w:szCs w:val="21"/>
          <w:lang w:eastAsia="zh-CN"/>
        </w:rPr>
        <w:t>法定代表人</w:t>
      </w:r>
      <w:r>
        <w:rPr>
          <w:rFonts w:hint="eastAsia" w:ascii="宋体" w:hAnsi="宋体" w:eastAsia="宋体" w:cs="宋体"/>
          <w:kern w:val="0"/>
          <w:sz w:val="21"/>
          <w:szCs w:val="21"/>
        </w:rPr>
        <w:t>或被授权</w:t>
      </w:r>
      <w:r>
        <w:rPr>
          <w:rFonts w:hint="eastAsia" w:ascii="宋体" w:hAnsi="宋体" w:eastAsia="宋体" w:cs="宋体"/>
          <w:color w:val="000000"/>
          <w:kern w:val="0"/>
          <w:sz w:val="21"/>
          <w:szCs w:val="21"/>
        </w:rPr>
        <w:t>人（签字或盖章）：</w:t>
      </w: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日期：</w:t>
      </w:r>
    </w:p>
    <w:p>
      <w:pPr>
        <w:widowControl/>
        <w:spacing w:line="540" w:lineRule="exact"/>
        <w:ind w:firstLine="420" w:firstLineChars="200"/>
        <w:rPr>
          <w:rFonts w:hint="eastAsia" w:ascii="宋体" w:hAnsi="宋体" w:eastAsia="宋体" w:cs="宋体"/>
          <w:kern w:val="0"/>
          <w:sz w:val="21"/>
          <w:szCs w:val="21"/>
        </w:rPr>
      </w:pPr>
    </w:p>
    <w:p>
      <w:pPr>
        <w:snapToGrid w:val="0"/>
        <w:spacing w:line="48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kern w:val="0"/>
          <w:sz w:val="21"/>
          <w:szCs w:val="21"/>
        </w:rPr>
        <w:t>注：本表总报价（以人民币计价</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应</w:t>
      </w:r>
      <w:r>
        <w:rPr>
          <w:rFonts w:hint="eastAsia" w:ascii="宋体" w:hAnsi="宋体" w:eastAsia="宋体" w:cs="宋体"/>
          <w:szCs w:val="21"/>
          <w:highlight w:val="none"/>
          <w:lang w:eastAsia="zh-CN"/>
        </w:rPr>
        <w:t>包含所有设备费、安装调试费、运输到指定地点的装运费用（含装卸力资）、相关安装辅助材料费、连接运行配件</w:t>
      </w:r>
      <w:r>
        <w:rPr>
          <w:rFonts w:hint="eastAsia" w:ascii="宋体" w:hAnsi="宋体" w:eastAsia="宋体" w:cs="宋体"/>
          <w:szCs w:val="21"/>
          <w:highlight w:val="none"/>
          <w:lang w:val="en-US" w:eastAsia="zh-CN"/>
        </w:rPr>
        <w:t>费、</w:t>
      </w:r>
      <w:r>
        <w:rPr>
          <w:rFonts w:hint="eastAsia" w:ascii="宋体" w:hAnsi="宋体" w:eastAsia="宋体" w:cs="宋体"/>
          <w:szCs w:val="21"/>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宋体" w:hAnsi="宋体" w:eastAsia="宋体" w:cs="宋体"/>
          <w:szCs w:val="21"/>
          <w:highlight w:val="none"/>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snapToGrid w:val="0"/>
        <w:spacing w:line="480" w:lineRule="exact"/>
        <w:rPr>
          <w:rFonts w:hint="eastAsia" w:ascii="宋体" w:hAnsi="宋体" w:eastAsia="宋体" w:cs="宋体"/>
          <w:sz w:val="21"/>
          <w:szCs w:val="21"/>
          <w:highlight w:val="none"/>
          <w:lang w:val="en-US" w:eastAsia="zh-CN"/>
        </w:rPr>
      </w:pPr>
    </w:p>
    <w:p>
      <w:pPr>
        <w:keepNext w:val="0"/>
        <w:keepLines w:val="0"/>
        <w:pageBreakBefore w:val="0"/>
        <w:wordWrap/>
        <w:autoSpaceDE/>
        <w:autoSpaceDN/>
        <w:bidi w:val="0"/>
        <w:snapToGrid w:val="0"/>
        <w:spacing w:line="360" w:lineRule="auto"/>
        <w:ind w:right="0" w:rightChars="0" w:firstLine="420" w:firstLineChars="200"/>
        <w:rPr>
          <w:rFonts w:hint="eastAsia"/>
        </w:rPr>
      </w:pPr>
    </w:p>
    <w:p>
      <w:pPr>
        <w:snapToGrid w:val="0"/>
        <w:spacing w:line="520" w:lineRule="exact"/>
        <w:ind w:firstLine="494" w:firstLineChars="206"/>
        <w:rPr>
          <w:rFonts w:hint="eastAsia" w:ascii="宋体" w:hAnsi="宋体" w:eastAsia="宋体" w:cs="宋体"/>
          <w:sz w:val="24"/>
          <w:szCs w:val="24"/>
          <w:highlight w:val="none"/>
          <w:lang w:eastAsia="zh-CN"/>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widowControl/>
        <w:spacing w:line="540" w:lineRule="exact"/>
        <w:ind w:firstLine="420" w:firstLineChars="200"/>
        <w:rPr>
          <w:rFonts w:hint="eastAsia" w:ascii="宋体" w:hAnsi="宋体" w:eastAsia="宋体" w:cs="宋体"/>
          <w:sz w:val="21"/>
          <w:szCs w:val="21"/>
        </w:rPr>
      </w:pPr>
    </w:p>
    <w:p>
      <w:pPr>
        <w:snapToGrid w:val="0"/>
        <w:spacing w:line="520" w:lineRule="exact"/>
        <w:jc w:val="center"/>
        <w:outlineLvl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2、谈判响应报价明细表（格式自拟）</w:t>
      </w:r>
    </w:p>
    <w:p>
      <w:pPr>
        <w:widowControl/>
        <w:spacing w:line="540" w:lineRule="exact"/>
        <w:jc w:val="center"/>
        <w:rPr>
          <w:rFonts w:hint="eastAsia" w:ascii="宋体" w:hAnsi="宋体" w:eastAsia="宋体" w:cs="宋体"/>
          <w:sz w:val="28"/>
          <w:szCs w:val="28"/>
          <w:lang w:val="en-US" w:eastAsia="zh-CN"/>
        </w:rPr>
      </w:pPr>
    </w:p>
    <w:p>
      <w:pPr>
        <w:widowControl/>
        <w:numPr>
          <w:ilvl w:val="0"/>
          <w:numId w:val="0"/>
        </w:numPr>
        <w:spacing w:line="540" w:lineRule="exact"/>
        <w:rPr>
          <w:rFonts w:hint="eastAsia" w:ascii="宋体" w:hAnsi="宋体" w:eastAsia="宋体" w:cs="宋体"/>
          <w:b/>
          <w:bCs/>
          <w:color w:val="000000"/>
          <w:kern w:val="0"/>
          <w:sz w:val="21"/>
          <w:szCs w:val="21"/>
          <w:lang w:val="en-US" w:eastAsia="zh-CN"/>
        </w:rPr>
      </w:pPr>
    </w:p>
    <w:p>
      <w:pPr>
        <w:widowControl/>
        <w:topLinePunct/>
        <w:spacing w:line="5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谈判响应单位：（盖章）            </w:t>
      </w:r>
    </w:p>
    <w:p>
      <w:pPr>
        <w:widowControl/>
        <w:topLinePunct/>
        <w:spacing w:line="540" w:lineRule="exact"/>
        <w:rPr>
          <w:rFonts w:hint="eastAsia" w:ascii="宋体" w:hAnsi="宋体" w:eastAsia="宋体" w:cs="宋体"/>
          <w:color w:val="000000"/>
          <w:kern w:val="0"/>
          <w:sz w:val="21"/>
          <w:szCs w:val="21"/>
        </w:rPr>
      </w:pPr>
      <w:r>
        <w:rPr>
          <w:rFonts w:hint="eastAsia" w:ascii="宋体" w:hAnsi="宋体" w:eastAsia="宋体" w:cs="宋体"/>
          <w:kern w:val="0"/>
          <w:sz w:val="21"/>
          <w:szCs w:val="21"/>
          <w:lang w:eastAsia="zh-CN"/>
        </w:rPr>
        <w:t>法定代表人</w:t>
      </w:r>
      <w:r>
        <w:rPr>
          <w:rFonts w:hint="eastAsia" w:ascii="宋体" w:hAnsi="宋体" w:eastAsia="宋体" w:cs="宋体"/>
          <w:kern w:val="0"/>
          <w:sz w:val="21"/>
          <w:szCs w:val="21"/>
        </w:rPr>
        <w:t>或被授权</w:t>
      </w:r>
      <w:r>
        <w:rPr>
          <w:rFonts w:hint="eastAsia" w:ascii="宋体" w:hAnsi="宋体" w:eastAsia="宋体" w:cs="宋体"/>
          <w:color w:val="000000"/>
          <w:kern w:val="0"/>
          <w:sz w:val="21"/>
          <w:szCs w:val="21"/>
        </w:rPr>
        <w:t>人（签字或盖章）：</w:t>
      </w:r>
    </w:p>
    <w:p>
      <w:pPr>
        <w:widowControl/>
        <w:topLinePunct/>
        <w:spacing w:line="540" w:lineRule="exact"/>
        <w:rPr>
          <w:rFonts w:hint="eastAsia" w:ascii="宋体" w:hAnsi="宋体" w:eastAsia="宋体" w:cs="宋体"/>
          <w:sz w:val="21"/>
          <w:szCs w:val="21"/>
        </w:rPr>
      </w:pPr>
      <w:r>
        <w:rPr>
          <w:rFonts w:hint="eastAsia" w:ascii="宋体" w:hAnsi="宋体" w:eastAsia="宋体" w:cs="宋体"/>
          <w:kern w:val="0"/>
          <w:sz w:val="21"/>
          <w:szCs w:val="21"/>
        </w:rPr>
        <w:t>日期：</w:t>
      </w:r>
    </w:p>
    <w:sectPr>
      <w:footerReference r:id="rId4" w:type="default"/>
      <w:pgSz w:w="11906" w:h="16838"/>
      <w:pgMar w:top="1440" w:right="1416" w:bottom="1440" w:left="1418" w:header="851" w:footer="992" w:gutter="0"/>
      <w:pgBorders w:offsetFrom="page">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楷体_GB2312" w:eastAsia="楷体_GB2312"/>
        <w:sz w:val="21"/>
        <w:szCs w:val="21"/>
      </w:rPr>
    </w:pPr>
    <w:r>
      <w:rPr>
        <w:rFonts w:hint="eastAsia" w:ascii="楷体_GB2312" w:eastAsia="楷体_GB2312"/>
        <w:kern w:val="0"/>
        <w:sz w:val="21"/>
        <w:szCs w:val="21"/>
      </w:rPr>
      <w:t xml:space="preserve">第 </w:t>
    </w:r>
    <w:r>
      <w:rPr>
        <w:rFonts w:ascii="楷体_GB2312" w:eastAsia="楷体_GB2312"/>
        <w:kern w:val="0"/>
        <w:sz w:val="21"/>
        <w:szCs w:val="21"/>
      </w:rPr>
      <w:fldChar w:fldCharType="begin"/>
    </w:r>
    <w:r>
      <w:rPr>
        <w:rFonts w:ascii="楷体_GB2312" w:eastAsia="楷体_GB2312"/>
        <w:kern w:val="0"/>
        <w:sz w:val="21"/>
        <w:szCs w:val="21"/>
      </w:rPr>
      <w:instrText xml:space="preserve"> PAGE </w:instrText>
    </w:r>
    <w:r>
      <w:rPr>
        <w:rFonts w:ascii="楷体_GB2312" w:eastAsia="楷体_GB2312"/>
        <w:kern w:val="0"/>
        <w:sz w:val="21"/>
        <w:szCs w:val="21"/>
      </w:rPr>
      <w:fldChar w:fldCharType="separate"/>
    </w:r>
    <w:r>
      <w:rPr>
        <w:rFonts w:ascii="楷体_GB2312" w:eastAsia="楷体_GB2312"/>
        <w:kern w:val="0"/>
        <w:sz w:val="21"/>
        <w:szCs w:val="21"/>
      </w:rPr>
      <w:t>5</w:t>
    </w:r>
    <w:r>
      <w:rPr>
        <w:rFonts w:ascii="楷体_GB2312" w:eastAsia="楷体_GB2312"/>
        <w:kern w:val="0"/>
        <w:sz w:val="21"/>
        <w:szCs w:val="21"/>
      </w:rPr>
      <w:fldChar w:fldCharType="end"/>
    </w:r>
    <w:r>
      <w:rPr>
        <w:rFonts w:hint="eastAsia" w:ascii="楷体_GB2312" w:eastAsia="楷体_GB2312"/>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420"/>
      <w:rPr>
        <w:rFonts w:hint="eastAsia"/>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A93A0"/>
    <w:multiLevelType w:val="singleLevel"/>
    <w:tmpl w:val="98FA93A0"/>
    <w:lvl w:ilvl="0" w:tentative="0">
      <w:start w:val="3"/>
      <w:numFmt w:val="decimal"/>
      <w:suff w:val="nothing"/>
      <w:lvlText w:val="%1、"/>
      <w:lvlJc w:val="left"/>
    </w:lvl>
  </w:abstractNum>
  <w:abstractNum w:abstractNumId="1">
    <w:nsid w:val="A3FA46F9"/>
    <w:multiLevelType w:val="multilevel"/>
    <w:tmpl w:val="A3FA4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CB91A3FB"/>
    <w:multiLevelType w:val="singleLevel"/>
    <w:tmpl w:val="CB91A3FB"/>
    <w:lvl w:ilvl="0" w:tentative="0">
      <w:start w:val="1"/>
      <w:numFmt w:val="decimal"/>
      <w:suff w:val="nothing"/>
      <w:lvlText w:val="%1、"/>
      <w:lvlJc w:val="left"/>
    </w:lvl>
  </w:abstractNum>
  <w:abstractNum w:abstractNumId="3">
    <w:nsid w:val="FA4650CC"/>
    <w:multiLevelType w:val="singleLevel"/>
    <w:tmpl w:val="FA4650CC"/>
    <w:lvl w:ilvl="0" w:tentative="0">
      <w:start w:val="8"/>
      <w:numFmt w:val="chineseCounting"/>
      <w:suff w:val="nothing"/>
      <w:lvlText w:val="%1、"/>
      <w:lvlJc w:val="left"/>
      <w:rPr>
        <w:rFonts w:hint="eastAsia"/>
      </w:rPr>
    </w:lvl>
  </w:abstractNum>
  <w:abstractNum w:abstractNumId="4">
    <w:nsid w:val="085D0577"/>
    <w:multiLevelType w:val="multilevel"/>
    <w:tmpl w:val="085D05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7A6130"/>
    <w:multiLevelType w:val="multilevel"/>
    <w:tmpl w:val="087A6130"/>
    <w:lvl w:ilvl="0" w:tentative="0">
      <w:start w:val="1"/>
      <w:numFmt w:val="decimal"/>
      <w:lvlText w:val="%1."/>
      <w:lvlJc w:val="left"/>
      <w:pPr>
        <w:ind w:left="420" w:hanging="420"/>
      </w:pPr>
      <w:rPr>
        <w:rFonts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9300544"/>
    <w:multiLevelType w:val="multilevel"/>
    <w:tmpl w:val="19300544"/>
    <w:lvl w:ilvl="0" w:tentative="0">
      <w:start w:val="1"/>
      <w:numFmt w:val="japaneseCounting"/>
      <w:lvlText w:val="%1、"/>
      <w:lvlJc w:val="left"/>
      <w:pPr>
        <w:ind w:left="1281" w:hanging="72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7">
    <w:nsid w:val="1998C18F"/>
    <w:multiLevelType w:val="multilevel"/>
    <w:tmpl w:val="1998C1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42F64A7"/>
    <w:multiLevelType w:val="multilevel"/>
    <w:tmpl w:val="242F64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07F67A"/>
    <w:multiLevelType w:val="singleLevel"/>
    <w:tmpl w:val="5907F67A"/>
    <w:lvl w:ilvl="0" w:tentative="0">
      <w:start w:val="5"/>
      <w:numFmt w:val="chineseCounting"/>
      <w:suff w:val="nothing"/>
      <w:lvlText w:val="%1、"/>
      <w:lvlJc w:val="left"/>
    </w:lvl>
  </w:abstractNum>
  <w:abstractNum w:abstractNumId="10">
    <w:nsid w:val="590FCCE6"/>
    <w:multiLevelType w:val="singleLevel"/>
    <w:tmpl w:val="590FCCE6"/>
    <w:lvl w:ilvl="0" w:tentative="0">
      <w:start w:val="1"/>
      <w:numFmt w:val="chineseCounting"/>
      <w:suff w:val="nothing"/>
      <w:lvlText w:val="%1、"/>
      <w:lvlJc w:val="left"/>
    </w:lvl>
  </w:abstractNum>
  <w:abstractNum w:abstractNumId="11">
    <w:nsid w:val="590FCEEF"/>
    <w:multiLevelType w:val="singleLevel"/>
    <w:tmpl w:val="590FCEEF"/>
    <w:lvl w:ilvl="0" w:tentative="0">
      <w:start w:val="5"/>
      <w:numFmt w:val="chineseCounting"/>
      <w:suff w:val="nothing"/>
      <w:lvlText w:val="%1、"/>
      <w:lvlJc w:val="left"/>
    </w:lvl>
  </w:abstractNum>
  <w:abstractNum w:abstractNumId="12">
    <w:nsid w:val="590FED04"/>
    <w:multiLevelType w:val="singleLevel"/>
    <w:tmpl w:val="590FED04"/>
    <w:lvl w:ilvl="0" w:tentative="0">
      <w:start w:val="1"/>
      <w:numFmt w:val="chineseCounting"/>
      <w:suff w:val="nothing"/>
      <w:lvlText w:val="%1、"/>
      <w:lvlJc w:val="left"/>
    </w:lvl>
  </w:abstractNum>
  <w:abstractNum w:abstractNumId="13">
    <w:nsid w:val="67E87B30"/>
    <w:multiLevelType w:val="multilevel"/>
    <w:tmpl w:val="67E87B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23D6BE4"/>
    <w:multiLevelType w:val="multilevel"/>
    <w:tmpl w:val="723D6B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653262A"/>
    <w:multiLevelType w:val="multilevel"/>
    <w:tmpl w:val="765326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A44696"/>
    <w:multiLevelType w:val="multilevel"/>
    <w:tmpl w:val="7DA446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0"/>
  </w:num>
  <w:num w:numId="3">
    <w:abstractNumId w:val="11"/>
  </w:num>
  <w:num w:numId="4">
    <w:abstractNumId w:val="5"/>
  </w:num>
  <w:num w:numId="5">
    <w:abstractNumId w:val="4"/>
  </w:num>
  <w:num w:numId="6">
    <w:abstractNumId w:val="8"/>
  </w:num>
  <w:num w:numId="7">
    <w:abstractNumId w:val="1"/>
  </w:num>
  <w:num w:numId="8">
    <w:abstractNumId w:val="7"/>
  </w:num>
  <w:num w:numId="9">
    <w:abstractNumId w:val="14"/>
  </w:num>
  <w:num w:numId="10">
    <w:abstractNumId w:val="16"/>
  </w:num>
  <w:num w:numId="11">
    <w:abstractNumId w:val="15"/>
  </w:num>
  <w:num w:numId="12">
    <w:abstractNumId w:val="13"/>
  </w:num>
  <w:num w:numId="13">
    <w:abstractNumId w:val="3"/>
  </w:num>
  <w:num w:numId="14">
    <w:abstractNumId w:val="12"/>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0"/>
    <w:rsid w:val="000013BA"/>
    <w:rsid w:val="0001029D"/>
    <w:rsid w:val="00010B51"/>
    <w:rsid w:val="00011A7B"/>
    <w:rsid w:val="00015F54"/>
    <w:rsid w:val="0001662F"/>
    <w:rsid w:val="0002425A"/>
    <w:rsid w:val="00024929"/>
    <w:rsid w:val="00026F41"/>
    <w:rsid w:val="000279C2"/>
    <w:rsid w:val="00027F33"/>
    <w:rsid w:val="000304C2"/>
    <w:rsid w:val="00030A70"/>
    <w:rsid w:val="00030E8B"/>
    <w:rsid w:val="000310D6"/>
    <w:rsid w:val="00032E32"/>
    <w:rsid w:val="00034A4E"/>
    <w:rsid w:val="00034B2B"/>
    <w:rsid w:val="00035B15"/>
    <w:rsid w:val="00035D0A"/>
    <w:rsid w:val="00036B7D"/>
    <w:rsid w:val="0003701E"/>
    <w:rsid w:val="000375D6"/>
    <w:rsid w:val="00042042"/>
    <w:rsid w:val="000420BB"/>
    <w:rsid w:val="0004398B"/>
    <w:rsid w:val="00045CE6"/>
    <w:rsid w:val="00046EA3"/>
    <w:rsid w:val="0004710A"/>
    <w:rsid w:val="00051654"/>
    <w:rsid w:val="000517FE"/>
    <w:rsid w:val="00053400"/>
    <w:rsid w:val="000543C4"/>
    <w:rsid w:val="00054668"/>
    <w:rsid w:val="0005521B"/>
    <w:rsid w:val="00057894"/>
    <w:rsid w:val="00057C70"/>
    <w:rsid w:val="00057FE6"/>
    <w:rsid w:val="00062705"/>
    <w:rsid w:val="00067C86"/>
    <w:rsid w:val="00070FEB"/>
    <w:rsid w:val="00073AAD"/>
    <w:rsid w:val="0007492C"/>
    <w:rsid w:val="00074CBC"/>
    <w:rsid w:val="000767BC"/>
    <w:rsid w:val="00076D4A"/>
    <w:rsid w:val="0007770F"/>
    <w:rsid w:val="00080987"/>
    <w:rsid w:val="000819C4"/>
    <w:rsid w:val="00082505"/>
    <w:rsid w:val="00082BAF"/>
    <w:rsid w:val="0008303E"/>
    <w:rsid w:val="00083E0B"/>
    <w:rsid w:val="00085B38"/>
    <w:rsid w:val="0008601A"/>
    <w:rsid w:val="000877E3"/>
    <w:rsid w:val="00090902"/>
    <w:rsid w:val="00093F05"/>
    <w:rsid w:val="0009428D"/>
    <w:rsid w:val="00094FC4"/>
    <w:rsid w:val="00096F39"/>
    <w:rsid w:val="00097037"/>
    <w:rsid w:val="00097818"/>
    <w:rsid w:val="000978C3"/>
    <w:rsid w:val="000A1832"/>
    <w:rsid w:val="000A1D11"/>
    <w:rsid w:val="000A1EEA"/>
    <w:rsid w:val="000A36A8"/>
    <w:rsid w:val="000A36AF"/>
    <w:rsid w:val="000A3EF4"/>
    <w:rsid w:val="000A47F7"/>
    <w:rsid w:val="000A49EE"/>
    <w:rsid w:val="000A62B8"/>
    <w:rsid w:val="000B26B2"/>
    <w:rsid w:val="000B30F4"/>
    <w:rsid w:val="000B56AD"/>
    <w:rsid w:val="000B5A6C"/>
    <w:rsid w:val="000C1305"/>
    <w:rsid w:val="000C3E34"/>
    <w:rsid w:val="000C4976"/>
    <w:rsid w:val="000C7B4F"/>
    <w:rsid w:val="000C7BF4"/>
    <w:rsid w:val="000C7C60"/>
    <w:rsid w:val="000D2EC9"/>
    <w:rsid w:val="000D2EEA"/>
    <w:rsid w:val="000D4004"/>
    <w:rsid w:val="000D4E9F"/>
    <w:rsid w:val="000D5028"/>
    <w:rsid w:val="000D5F73"/>
    <w:rsid w:val="000E2322"/>
    <w:rsid w:val="000E3324"/>
    <w:rsid w:val="000E5691"/>
    <w:rsid w:val="000E6AE6"/>
    <w:rsid w:val="000E7C85"/>
    <w:rsid w:val="000E7FB1"/>
    <w:rsid w:val="000F2C56"/>
    <w:rsid w:val="000F30A6"/>
    <w:rsid w:val="000F3A44"/>
    <w:rsid w:val="000F474E"/>
    <w:rsid w:val="000F47FC"/>
    <w:rsid w:val="000F5CAF"/>
    <w:rsid w:val="000F5F88"/>
    <w:rsid w:val="000F6A33"/>
    <w:rsid w:val="00101B73"/>
    <w:rsid w:val="00101BD7"/>
    <w:rsid w:val="001029E4"/>
    <w:rsid w:val="001040DF"/>
    <w:rsid w:val="001046B9"/>
    <w:rsid w:val="00104E56"/>
    <w:rsid w:val="00105521"/>
    <w:rsid w:val="00105EE5"/>
    <w:rsid w:val="0010717C"/>
    <w:rsid w:val="00110EE9"/>
    <w:rsid w:val="00111D71"/>
    <w:rsid w:val="00112BD6"/>
    <w:rsid w:val="00113180"/>
    <w:rsid w:val="00114F45"/>
    <w:rsid w:val="00115E60"/>
    <w:rsid w:val="00116418"/>
    <w:rsid w:val="001166C6"/>
    <w:rsid w:val="00117D50"/>
    <w:rsid w:val="001202C8"/>
    <w:rsid w:val="00121354"/>
    <w:rsid w:val="001244C5"/>
    <w:rsid w:val="001244D6"/>
    <w:rsid w:val="00124DFF"/>
    <w:rsid w:val="00126C9B"/>
    <w:rsid w:val="001307D4"/>
    <w:rsid w:val="001340DE"/>
    <w:rsid w:val="00134B8D"/>
    <w:rsid w:val="001353B2"/>
    <w:rsid w:val="00136FF9"/>
    <w:rsid w:val="001409B3"/>
    <w:rsid w:val="00140D34"/>
    <w:rsid w:val="00142346"/>
    <w:rsid w:val="001428B3"/>
    <w:rsid w:val="001463CA"/>
    <w:rsid w:val="001467F4"/>
    <w:rsid w:val="0014723A"/>
    <w:rsid w:val="00147D0B"/>
    <w:rsid w:val="00150767"/>
    <w:rsid w:val="00155CD1"/>
    <w:rsid w:val="00156064"/>
    <w:rsid w:val="001560F1"/>
    <w:rsid w:val="00156D04"/>
    <w:rsid w:val="00160231"/>
    <w:rsid w:val="00160A22"/>
    <w:rsid w:val="00161299"/>
    <w:rsid w:val="00161C13"/>
    <w:rsid w:val="001632DA"/>
    <w:rsid w:val="00164134"/>
    <w:rsid w:val="001651F2"/>
    <w:rsid w:val="00166846"/>
    <w:rsid w:val="001708E4"/>
    <w:rsid w:val="00172688"/>
    <w:rsid w:val="001726E4"/>
    <w:rsid w:val="00175FED"/>
    <w:rsid w:val="001774C7"/>
    <w:rsid w:val="001776FF"/>
    <w:rsid w:val="00181627"/>
    <w:rsid w:val="00181926"/>
    <w:rsid w:val="001824D6"/>
    <w:rsid w:val="0018261A"/>
    <w:rsid w:val="001827AC"/>
    <w:rsid w:val="00183408"/>
    <w:rsid w:val="0018515B"/>
    <w:rsid w:val="00186552"/>
    <w:rsid w:val="001902E8"/>
    <w:rsid w:val="0019096D"/>
    <w:rsid w:val="0019101F"/>
    <w:rsid w:val="0019143D"/>
    <w:rsid w:val="00191A04"/>
    <w:rsid w:val="00192AC3"/>
    <w:rsid w:val="00194350"/>
    <w:rsid w:val="00194AE8"/>
    <w:rsid w:val="00195E0C"/>
    <w:rsid w:val="001A034D"/>
    <w:rsid w:val="001A279A"/>
    <w:rsid w:val="001A3719"/>
    <w:rsid w:val="001A398B"/>
    <w:rsid w:val="001A5721"/>
    <w:rsid w:val="001A5B3C"/>
    <w:rsid w:val="001A5F67"/>
    <w:rsid w:val="001A6879"/>
    <w:rsid w:val="001A77B9"/>
    <w:rsid w:val="001B08FA"/>
    <w:rsid w:val="001B0C4C"/>
    <w:rsid w:val="001B1A90"/>
    <w:rsid w:val="001B1D8E"/>
    <w:rsid w:val="001B3BA4"/>
    <w:rsid w:val="001B3D84"/>
    <w:rsid w:val="001B409B"/>
    <w:rsid w:val="001B519C"/>
    <w:rsid w:val="001B7383"/>
    <w:rsid w:val="001B776A"/>
    <w:rsid w:val="001C006C"/>
    <w:rsid w:val="001C1D61"/>
    <w:rsid w:val="001C1D7B"/>
    <w:rsid w:val="001C246D"/>
    <w:rsid w:val="001C2BB1"/>
    <w:rsid w:val="001C5A71"/>
    <w:rsid w:val="001D0937"/>
    <w:rsid w:val="001D0C14"/>
    <w:rsid w:val="001D12F3"/>
    <w:rsid w:val="001D2857"/>
    <w:rsid w:val="001E0C98"/>
    <w:rsid w:val="001E18D3"/>
    <w:rsid w:val="001E1D13"/>
    <w:rsid w:val="001E3795"/>
    <w:rsid w:val="001E3933"/>
    <w:rsid w:val="001E65A3"/>
    <w:rsid w:val="001E78D3"/>
    <w:rsid w:val="001E7BE3"/>
    <w:rsid w:val="001F1363"/>
    <w:rsid w:val="001F27B6"/>
    <w:rsid w:val="001F4EAF"/>
    <w:rsid w:val="001F526E"/>
    <w:rsid w:val="001F7D4B"/>
    <w:rsid w:val="0020274A"/>
    <w:rsid w:val="00202E59"/>
    <w:rsid w:val="0020388C"/>
    <w:rsid w:val="00203C81"/>
    <w:rsid w:val="002061E7"/>
    <w:rsid w:val="0020686E"/>
    <w:rsid w:val="00207C27"/>
    <w:rsid w:val="002109D1"/>
    <w:rsid w:val="00212CE2"/>
    <w:rsid w:val="00212CE3"/>
    <w:rsid w:val="00220A83"/>
    <w:rsid w:val="00221E6D"/>
    <w:rsid w:val="00222026"/>
    <w:rsid w:val="00222FFA"/>
    <w:rsid w:val="00223B81"/>
    <w:rsid w:val="0022492B"/>
    <w:rsid w:val="0022504C"/>
    <w:rsid w:val="002252FC"/>
    <w:rsid w:val="00227281"/>
    <w:rsid w:val="002345DF"/>
    <w:rsid w:val="00235BD3"/>
    <w:rsid w:val="002366F8"/>
    <w:rsid w:val="0023727A"/>
    <w:rsid w:val="0023746D"/>
    <w:rsid w:val="00241426"/>
    <w:rsid w:val="00241589"/>
    <w:rsid w:val="00241822"/>
    <w:rsid w:val="002419C8"/>
    <w:rsid w:val="00241AB0"/>
    <w:rsid w:val="00245378"/>
    <w:rsid w:val="0024669A"/>
    <w:rsid w:val="00250037"/>
    <w:rsid w:val="0025004D"/>
    <w:rsid w:val="00250D38"/>
    <w:rsid w:val="00253966"/>
    <w:rsid w:val="00253A03"/>
    <w:rsid w:val="00254A59"/>
    <w:rsid w:val="00254DC4"/>
    <w:rsid w:val="0025552C"/>
    <w:rsid w:val="00257464"/>
    <w:rsid w:val="00257916"/>
    <w:rsid w:val="0026084F"/>
    <w:rsid w:val="0026106F"/>
    <w:rsid w:val="00262889"/>
    <w:rsid w:val="00265701"/>
    <w:rsid w:val="002668B4"/>
    <w:rsid w:val="00267C15"/>
    <w:rsid w:val="002716B5"/>
    <w:rsid w:val="0027387B"/>
    <w:rsid w:val="00276239"/>
    <w:rsid w:val="002765B4"/>
    <w:rsid w:val="00281950"/>
    <w:rsid w:val="002912BB"/>
    <w:rsid w:val="00292CFC"/>
    <w:rsid w:val="00294270"/>
    <w:rsid w:val="00294DB0"/>
    <w:rsid w:val="00295D5D"/>
    <w:rsid w:val="00295FFA"/>
    <w:rsid w:val="002A1AB7"/>
    <w:rsid w:val="002A24B0"/>
    <w:rsid w:val="002A2C43"/>
    <w:rsid w:val="002A2CF5"/>
    <w:rsid w:val="002A41F3"/>
    <w:rsid w:val="002A460D"/>
    <w:rsid w:val="002A4B55"/>
    <w:rsid w:val="002A6F80"/>
    <w:rsid w:val="002B098E"/>
    <w:rsid w:val="002B09E6"/>
    <w:rsid w:val="002B0A9C"/>
    <w:rsid w:val="002B0CEA"/>
    <w:rsid w:val="002B0F31"/>
    <w:rsid w:val="002B1817"/>
    <w:rsid w:val="002B1A90"/>
    <w:rsid w:val="002B33D3"/>
    <w:rsid w:val="002B4B62"/>
    <w:rsid w:val="002B61C2"/>
    <w:rsid w:val="002B676D"/>
    <w:rsid w:val="002B7E0A"/>
    <w:rsid w:val="002C296E"/>
    <w:rsid w:val="002C2FC4"/>
    <w:rsid w:val="002C37C6"/>
    <w:rsid w:val="002C3BDE"/>
    <w:rsid w:val="002C41DC"/>
    <w:rsid w:val="002C610B"/>
    <w:rsid w:val="002D0451"/>
    <w:rsid w:val="002D1D02"/>
    <w:rsid w:val="002D44D1"/>
    <w:rsid w:val="002D5D75"/>
    <w:rsid w:val="002D61DF"/>
    <w:rsid w:val="002D7D3E"/>
    <w:rsid w:val="002E0225"/>
    <w:rsid w:val="002E0389"/>
    <w:rsid w:val="002E0627"/>
    <w:rsid w:val="002E12D3"/>
    <w:rsid w:val="002E3DCE"/>
    <w:rsid w:val="002E3F19"/>
    <w:rsid w:val="002E79CC"/>
    <w:rsid w:val="002F01EE"/>
    <w:rsid w:val="002F18D7"/>
    <w:rsid w:val="002F1B09"/>
    <w:rsid w:val="002F3217"/>
    <w:rsid w:val="002F4222"/>
    <w:rsid w:val="002F43B0"/>
    <w:rsid w:val="002F5959"/>
    <w:rsid w:val="002F5EBB"/>
    <w:rsid w:val="002F6262"/>
    <w:rsid w:val="002F7FAD"/>
    <w:rsid w:val="00302AA3"/>
    <w:rsid w:val="00302D37"/>
    <w:rsid w:val="00303079"/>
    <w:rsid w:val="00303B60"/>
    <w:rsid w:val="00304376"/>
    <w:rsid w:val="00304626"/>
    <w:rsid w:val="00305FE8"/>
    <w:rsid w:val="00314940"/>
    <w:rsid w:val="003216CE"/>
    <w:rsid w:val="00322F46"/>
    <w:rsid w:val="00325448"/>
    <w:rsid w:val="00326DC0"/>
    <w:rsid w:val="00333B75"/>
    <w:rsid w:val="00336EF9"/>
    <w:rsid w:val="00342FA0"/>
    <w:rsid w:val="00344FC0"/>
    <w:rsid w:val="00345832"/>
    <w:rsid w:val="00350169"/>
    <w:rsid w:val="0035063E"/>
    <w:rsid w:val="00351D58"/>
    <w:rsid w:val="00352935"/>
    <w:rsid w:val="0035332F"/>
    <w:rsid w:val="003541D6"/>
    <w:rsid w:val="00354AD3"/>
    <w:rsid w:val="00354D32"/>
    <w:rsid w:val="0035543B"/>
    <w:rsid w:val="00356CD0"/>
    <w:rsid w:val="00357DE9"/>
    <w:rsid w:val="00357FC6"/>
    <w:rsid w:val="00362854"/>
    <w:rsid w:val="00363F20"/>
    <w:rsid w:val="00367214"/>
    <w:rsid w:val="00367C4D"/>
    <w:rsid w:val="00371ECD"/>
    <w:rsid w:val="00372814"/>
    <w:rsid w:val="00373205"/>
    <w:rsid w:val="0037342F"/>
    <w:rsid w:val="0037464F"/>
    <w:rsid w:val="00375EDC"/>
    <w:rsid w:val="00381893"/>
    <w:rsid w:val="003839B6"/>
    <w:rsid w:val="0038416F"/>
    <w:rsid w:val="00384717"/>
    <w:rsid w:val="00385330"/>
    <w:rsid w:val="0038548C"/>
    <w:rsid w:val="003867AE"/>
    <w:rsid w:val="00395B8E"/>
    <w:rsid w:val="003972D3"/>
    <w:rsid w:val="003A0022"/>
    <w:rsid w:val="003A09EC"/>
    <w:rsid w:val="003A1D22"/>
    <w:rsid w:val="003A2AAF"/>
    <w:rsid w:val="003A2D1B"/>
    <w:rsid w:val="003A74AC"/>
    <w:rsid w:val="003A75AD"/>
    <w:rsid w:val="003B102A"/>
    <w:rsid w:val="003B1119"/>
    <w:rsid w:val="003B1FAC"/>
    <w:rsid w:val="003B254A"/>
    <w:rsid w:val="003B3F5D"/>
    <w:rsid w:val="003B556E"/>
    <w:rsid w:val="003C0B6E"/>
    <w:rsid w:val="003C31E8"/>
    <w:rsid w:val="003C3FFD"/>
    <w:rsid w:val="003C5005"/>
    <w:rsid w:val="003C7111"/>
    <w:rsid w:val="003C7702"/>
    <w:rsid w:val="003D250B"/>
    <w:rsid w:val="003D25E2"/>
    <w:rsid w:val="003D3897"/>
    <w:rsid w:val="003D4E71"/>
    <w:rsid w:val="003D6226"/>
    <w:rsid w:val="003D74EA"/>
    <w:rsid w:val="003D7638"/>
    <w:rsid w:val="003E0181"/>
    <w:rsid w:val="003E63FE"/>
    <w:rsid w:val="003E6504"/>
    <w:rsid w:val="003E6728"/>
    <w:rsid w:val="003E7EFB"/>
    <w:rsid w:val="003F26BE"/>
    <w:rsid w:val="003F3B9D"/>
    <w:rsid w:val="003F4690"/>
    <w:rsid w:val="003F56B8"/>
    <w:rsid w:val="003F750A"/>
    <w:rsid w:val="003F7AEA"/>
    <w:rsid w:val="00400863"/>
    <w:rsid w:val="004019EA"/>
    <w:rsid w:val="00403C6B"/>
    <w:rsid w:val="00404204"/>
    <w:rsid w:val="00407691"/>
    <w:rsid w:val="00407EBE"/>
    <w:rsid w:val="004120E4"/>
    <w:rsid w:val="004121F9"/>
    <w:rsid w:val="0041565A"/>
    <w:rsid w:val="00416530"/>
    <w:rsid w:val="00417634"/>
    <w:rsid w:val="00421CFD"/>
    <w:rsid w:val="0042503A"/>
    <w:rsid w:val="0042529B"/>
    <w:rsid w:val="00425475"/>
    <w:rsid w:val="0042554F"/>
    <w:rsid w:val="00425C96"/>
    <w:rsid w:val="00426188"/>
    <w:rsid w:val="004269CD"/>
    <w:rsid w:val="00426FE2"/>
    <w:rsid w:val="00427095"/>
    <w:rsid w:val="004314D3"/>
    <w:rsid w:val="00431C84"/>
    <w:rsid w:val="004324CC"/>
    <w:rsid w:val="00432DD7"/>
    <w:rsid w:val="00435F49"/>
    <w:rsid w:val="00436713"/>
    <w:rsid w:val="00436784"/>
    <w:rsid w:val="00436D17"/>
    <w:rsid w:val="004416B2"/>
    <w:rsid w:val="00441ECB"/>
    <w:rsid w:val="00443C57"/>
    <w:rsid w:val="0044401D"/>
    <w:rsid w:val="00444D63"/>
    <w:rsid w:val="0044514C"/>
    <w:rsid w:val="004469DC"/>
    <w:rsid w:val="00455DB2"/>
    <w:rsid w:val="0045694D"/>
    <w:rsid w:val="004608E8"/>
    <w:rsid w:val="0046235C"/>
    <w:rsid w:val="0046253A"/>
    <w:rsid w:val="004707EF"/>
    <w:rsid w:val="00473492"/>
    <w:rsid w:val="00473EDB"/>
    <w:rsid w:val="0047407B"/>
    <w:rsid w:val="00475058"/>
    <w:rsid w:val="004752E5"/>
    <w:rsid w:val="004757E0"/>
    <w:rsid w:val="00477E31"/>
    <w:rsid w:val="00480CAE"/>
    <w:rsid w:val="00481C80"/>
    <w:rsid w:val="00483D6C"/>
    <w:rsid w:val="004872A6"/>
    <w:rsid w:val="004907BE"/>
    <w:rsid w:val="0049122E"/>
    <w:rsid w:val="00494A1F"/>
    <w:rsid w:val="00496D8F"/>
    <w:rsid w:val="00496FBF"/>
    <w:rsid w:val="004A0497"/>
    <w:rsid w:val="004A2731"/>
    <w:rsid w:val="004A3DD2"/>
    <w:rsid w:val="004A53F0"/>
    <w:rsid w:val="004A6F8A"/>
    <w:rsid w:val="004B188B"/>
    <w:rsid w:val="004B531D"/>
    <w:rsid w:val="004B7041"/>
    <w:rsid w:val="004C1E17"/>
    <w:rsid w:val="004C2853"/>
    <w:rsid w:val="004C4C2E"/>
    <w:rsid w:val="004C74E8"/>
    <w:rsid w:val="004D1FF9"/>
    <w:rsid w:val="004D21E9"/>
    <w:rsid w:val="004D3D03"/>
    <w:rsid w:val="004D429E"/>
    <w:rsid w:val="004D6805"/>
    <w:rsid w:val="004D6F9D"/>
    <w:rsid w:val="004E22D8"/>
    <w:rsid w:val="004E24D8"/>
    <w:rsid w:val="004E2EC2"/>
    <w:rsid w:val="004E501D"/>
    <w:rsid w:val="004F2483"/>
    <w:rsid w:val="004F3B12"/>
    <w:rsid w:val="004F49FC"/>
    <w:rsid w:val="004F5000"/>
    <w:rsid w:val="004F5124"/>
    <w:rsid w:val="004F553D"/>
    <w:rsid w:val="004F670F"/>
    <w:rsid w:val="00501505"/>
    <w:rsid w:val="005029ED"/>
    <w:rsid w:val="00504C24"/>
    <w:rsid w:val="005072E1"/>
    <w:rsid w:val="005074CF"/>
    <w:rsid w:val="0050796E"/>
    <w:rsid w:val="00507F5F"/>
    <w:rsid w:val="00512B6B"/>
    <w:rsid w:val="00513F2E"/>
    <w:rsid w:val="0051558D"/>
    <w:rsid w:val="00516C76"/>
    <w:rsid w:val="005203CD"/>
    <w:rsid w:val="00520483"/>
    <w:rsid w:val="00521420"/>
    <w:rsid w:val="00522F76"/>
    <w:rsid w:val="005236AE"/>
    <w:rsid w:val="005238E8"/>
    <w:rsid w:val="00525074"/>
    <w:rsid w:val="0052567E"/>
    <w:rsid w:val="00525FC6"/>
    <w:rsid w:val="00526177"/>
    <w:rsid w:val="005270FD"/>
    <w:rsid w:val="005277DA"/>
    <w:rsid w:val="00530795"/>
    <w:rsid w:val="005342B5"/>
    <w:rsid w:val="00536483"/>
    <w:rsid w:val="005378E8"/>
    <w:rsid w:val="0054176C"/>
    <w:rsid w:val="005422CD"/>
    <w:rsid w:val="005433DA"/>
    <w:rsid w:val="00544D35"/>
    <w:rsid w:val="005451F8"/>
    <w:rsid w:val="005453D3"/>
    <w:rsid w:val="005456AF"/>
    <w:rsid w:val="00546BD0"/>
    <w:rsid w:val="005470A1"/>
    <w:rsid w:val="00552CAB"/>
    <w:rsid w:val="0055335E"/>
    <w:rsid w:val="00555671"/>
    <w:rsid w:val="00555881"/>
    <w:rsid w:val="00557866"/>
    <w:rsid w:val="00562195"/>
    <w:rsid w:val="005628E3"/>
    <w:rsid w:val="005638D2"/>
    <w:rsid w:val="0056600D"/>
    <w:rsid w:val="00566BDC"/>
    <w:rsid w:val="005701A3"/>
    <w:rsid w:val="005709EB"/>
    <w:rsid w:val="00572A8E"/>
    <w:rsid w:val="0057319F"/>
    <w:rsid w:val="0057400B"/>
    <w:rsid w:val="0057439B"/>
    <w:rsid w:val="00574E28"/>
    <w:rsid w:val="00575C7B"/>
    <w:rsid w:val="005764F6"/>
    <w:rsid w:val="0057789B"/>
    <w:rsid w:val="00580460"/>
    <w:rsid w:val="00580FB3"/>
    <w:rsid w:val="00581270"/>
    <w:rsid w:val="00583A82"/>
    <w:rsid w:val="00584CDB"/>
    <w:rsid w:val="00584FEC"/>
    <w:rsid w:val="00585D39"/>
    <w:rsid w:val="00586239"/>
    <w:rsid w:val="00590483"/>
    <w:rsid w:val="005918A4"/>
    <w:rsid w:val="0059381A"/>
    <w:rsid w:val="00594756"/>
    <w:rsid w:val="0059475F"/>
    <w:rsid w:val="005952CE"/>
    <w:rsid w:val="005A0DD8"/>
    <w:rsid w:val="005A3604"/>
    <w:rsid w:val="005A48DC"/>
    <w:rsid w:val="005B0CAD"/>
    <w:rsid w:val="005B32DB"/>
    <w:rsid w:val="005B632F"/>
    <w:rsid w:val="005B691C"/>
    <w:rsid w:val="005C08F2"/>
    <w:rsid w:val="005C1362"/>
    <w:rsid w:val="005C1439"/>
    <w:rsid w:val="005C3B34"/>
    <w:rsid w:val="005C3E36"/>
    <w:rsid w:val="005C4595"/>
    <w:rsid w:val="005C4701"/>
    <w:rsid w:val="005C4FFA"/>
    <w:rsid w:val="005D107F"/>
    <w:rsid w:val="005D2785"/>
    <w:rsid w:val="005D33AF"/>
    <w:rsid w:val="005D4413"/>
    <w:rsid w:val="005D48EA"/>
    <w:rsid w:val="005D5193"/>
    <w:rsid w:val="005D533D"/>
    <w:rsid w:val="005D716D"/>
    <w:rsid w:val="005D757D"/>
    <w:rsid w:val="005E18AC"/>
    <w:rsid w:val="005E18EF"/>
    <w:rsid w:val="005E298B"/>
    <w:rsid w:val="005F2538"/>
    <w:rsid w:val="005F2D2A"/>
    <w:rsid w:val="006020AC"/>
    <w:rsid w:val="00602A89"/>
    <w:rsid w:val="006053D7"/>
    <w:rsid w:val="00605E66"/>
    <w:rsid w:val="00607C3C"/>
    <w:rsid w:val="00610A3C"/>
    <w:rsid w:val="00615753"/>
    <w:rsid w:val="006162DA"/>
    <w:rsid w:val="00616326"/>
    <w:rsid w:val="00620CA2"/>
    <w:rsid w:val="00621760"/>
    <w:rsid w:val="006218C6"/>
    <w:rsid w:val="00624223"/>
    <w:rsid w:val="00624711"/>
    <w:rsid w:val="006250A1"/>
    <w:rsid w:val="0062630E"/>
    <w:rsid w:val="00626880"/>
    <w:rsid w:val="00627043"/>
    <w:rsid w:val="006328C2"/>
    <w:rsid w:val="00632912"/>
    <w:rsid w:val="00635093"/>
    <w:rsid w:val="0063619B"/>
    <w:rsid w:val="0063630F"/>
    <w:rsid w:val="006368B4"/>
    <w:rsid w:val="006406BA"/>
    <w:rsid w:val="00642712"/>
    <w:rsid w:val="0064343D"/>
    <w:rsid w:val="00647169"/>
    <w:rsid w:val="006472CB"/>
    <w:rsid w:val="006475B5"/>
    <w:rsid w:val="00652797"/>
    <w:rsid w:val="00653F36"/>
    <w:rsid w:val="00662577"/>
    <w:rsid w:val="006626A3"/>
    <w:rsid w:val="0066485E"/>
    <w:rsid w:val="00666767"/>
    <w:rsid w:val="00666798"/>
    <w:rsid w:val="00672756"/>
    <w:rsid w:val="006733EE"/>
    <w:rsid w:val="00675587"/>
    <w:rsid w:val="00677295"/>
    <w:rsid w:val="006802DE"/>
    <w:rsid w:val="00680CAE"/>
    <w:rsid w:val="00681CE1"/>
    <w:rsid w:val="00682B69"/>
    <w:rsid w:val="00683ACD"/>
    <w:rsid w:val="00683C54"/>
    <w:rsid w:val="00684006"/>
    <w:rsid w:val="0068403D"/>
    <w:rsid w:val="00685CFE"/>
    <w:rsid w:val="00686389"/>
    <w:rsid w:val="006865EC"/>
    <w:rsid w:val="00687114"/>
    <w:rsid w:val="006879E5"/>
    <w:rsid w:val="00692678"/>
    <w:rsid w:val="006929FA"/>
    <w:rsid w:val="0069359F"/>
    <w:rsid w:val="00693BCF"/>
    <w:rsid w:val="0069406E"/>
    <w:rsid w:val="00694FCB"/>
    <w:rsid w:val="006959F1"/>
    <w:rsid w:val="00695DE8"/>
    <w:rsid w:val="00697196"/>
    <w:rsid w:val="00697996"/>
    <w:rsid w:val="006979B5"/>
    <w:rsid w:val="006A19CE"/>
    <w:rsid w:val="006A3459"/>
    <w:rsid w:val="006A5897"/>
    <w:rsid w:val="006A633C"/>
    <w:rsid w:val="006B0323"/>
    <w:rsid w:val="006B4422"/>
    <w:rsid w:val="006B537C"/>
    <w:rsid w:val="006B62F6"/>
    <w:rsid w:val="006B7003"/>
    <w:rsid w:val="006B799A"/>
    <w:rsid w:val="006C0039"/>
    <w:rsid w:val="006C189E"/>
    <w:rsid w:val="006C1F12"/>
    <w:rsid w:val="006C1FDA"/>
    <w:rsid w:val="006C76E8"/>
    <w:rsid w:val="006D102B"/>
    <w:rsid w:val="006D3972"/>
    <w:rsid w:val="006D4325"/>
    <w:rsid w:val="006D4D6B"/>
    <w:rsid w:val="006D534B"/>
    <w:rsid w:val="006D6E05"/>
    <w:rsid w:val="006D6F95"/>
    <w:rsid w:val="006D7F63"/>
    <w:rsid w:val="006E0E1C"/>
    <w:rsid w:val="006E1573"/>
    <w:rsid w:val="006E2B35"/>
    <w:rsid w:val="006E484A"/>
    <w:rsid w:val="006E7BD9"/>
    <w:rsid w:val="006F04BC"/>
    <w:rsid w:val="006F153B"/>
    <w:rsid w:val="006F316D"/>
    <w:rsid w:val="006F3FDF"/>
    <w:rsid w:val="006F40ED"/>
    <w:rsid w:val="006F505B"/>
    <w:rsid w:val="006F58CC"/>
    <w:rsid w:val="006F5C24"/>
    <w:rsid w:val="006F5F51"/>
    <w:rsid w:val="006F7289"/>
    <w:rsid w:val="007007DD"/>
    <w:rsid w:val="0070231D"/>
    <w:rsid w:val="00705B32"/>
    <w:rsid w:val="0070721D"/>
    <w:rsid w:val="00713A73"/>
    <w:rsid w:val="007160A6"/>
    <w:rsid w:val="007164D2"/>
    <w:rsid w:val="00716A3F"/>
    <w:rsid w:val="00716ADC"/>
    <w:rsid w:val="00721467"/>
    <w:rsid w:val="0072282B"/>
    <w:rsid w:val="0072284D"/>
    <w:rsid w:val="00723794"/>
    <w:rsid w:val="00723A07"/>
    <w:rsid w:val="00725382"/>
    <w:rsid w:val="0072749E"/>
    <w:rsid w:val="007313A2"/>
    <w:rsid w:val="007338B3"/>
    <w:rsid w:val="00737380"/>
    <w:rsid w:val="007377BA"/>
    <w:rsid w:val="00737C8B"/>
    <w:rsid w:val="00741A93"/>
    <w:rsid w:val="00742CE5"/>
    <w:rsid w:val="00743BC7"/>
    <w:rsid w:val="00743FA2"/>
    <w:rsid w:val="00744DCA"/>
    <w:rsid w:val="00746961"/>
    <w:rsid w:val="007469D4"/>
    <w:rsid w:val="0075498F"/>
    <w:rsid w:val="00756D3F"/>
    <w:rsid w:val="00760100"/>
    <w:rsid w:val="007610FE"/>
    <w:rsid w:val="00762136"/>
    <w:rsid w:val="007627ED"/>
    <w:rsid w:val="00763825"/>
    <w:rsid w:val="0076558B"/>
    <w:rsid w:val="00765607"/>
    <w:rsid w:val="00766106"/>
    <w:rsid w:val="007675FD"/>
    <w:rsid w:val="0077383B"/>
    <w:rsid w:val="0077454F"/>
    <w:rsid w:val="00783F33"/>
    <w:rsid w:val="00785443"/>
    <w:rsid w:val="0078610A"/>
    <w:rsid w:val="00787E02"/>
    <w:rsid w:val="007917C0"/>
    <w:rsid w:val="00792929"/>
    <w:rsid w:val="00793B3C"/>
    <w:rsid w:val="0079496E"/>
    <w:rsid w:val="007A258D"/>
    <w:rsid w:val="007A32D7"/>
    <w:rsid w:val="007A4412"/>
    <w:rsid w:val="007A6228"/>
    <w:rsid w:val="007B0694"/>
    <w:rsid w:val="007B11E7"/>
    <w:rsid w:val="007B21FD"/>
    <w:rsid w:val="007B2BA2"/>
    <w:rsid w:val="007B46FF"/>
    <w:rsid w:val="007B5290"/>
    <w:rsid w:val="007B53B0"/>
    <w:rsid w:val="007C3482"/>
    <w:rsid w:val="007C3EA1"/>
    <w:rsid w:val="007C5839"/>
    <w:rsid w:val="007D099A"/>
    <w:rsid w:val="007D0B7B"/>
    <w:rsid w:val="007D0EF6"/>
    <w:rsid w:val="007D27A4"/>
    <w:rsid w:val="007D28E9"/>
    <w:rsid w:val="007D5C0D"/>
    <w:rsid w:val="007D61ED"/>
    <w:rsid w:val="007D62C2"/>
    <w:rsid w:val="007D6F35"/>
    <w:rsid w:val="007D7260"/>
    <w:rsid w:val="007E10C8"/>
    <w:rsid w:val="007E21D9"/>
    <w:rsid w:val="007E345C"/>
    <w:rsid w:val="007E3B4D"/>
    <w:rsid w:val="007E40D6"/>
    <w:rsid w:val="007E7101"/>
    <w:rsid w:val="007F085A"/>
    <w:rsid w:val="007F211B"/>
    <w:rsid w:val="007F46F6"/>
    <w:rsid w:val="007F5842"/>
    <w:rsid w:val="007F75E5"/>
    <w:rsid w:val="007F7F72"/>
    <w:rsid w:val="00802461"/>
    <w:rsid w:val="00802D5D"/>
    <w:rsid w:val="00802FB5"/>
    <w:rsid w:val="0080519B"/>
    <w:rsid w:val="008070EF"/>
    <w:rsid w:val="00810E91"/>
    <w:rsid w:val="00811263"/>
    <w:rsid w:val="00812826"/>
    <w:rsid w:val="00817A23"/>
    <w:rsid w:val="0082361E"/>
    <w:rsid w:val="00825C8B"/>
    <w:rsid w:val="0082603C"/>
    <w:rsid w:val="00826DFA"/>
    <w:rsid w:val="00826E9E"/>
    <w:rsid w:val="00830807"/>
    <w:rsid w:val="00830B6B"/>
    <w:rsid w:val="00831940"/>
    <w:rsid w:val="008322DF"/>
    <w:rsid w:val="008326A2"/>
    <w:rsid w:val="008348D7"/>
    <w:rsid w:val="00835C25"/>
    <w:rsid w:val="00835CC0"/>
    <w:rsid w:val="00836FC9"/>
    <w:rsid w:val="00840827"/>
    <w:rsid w:val="00843284"/>
    <w:rsid w:val="0084513F"/>
    <w:rsid w:val="00845506"/>
    <w:rsid w:val="00845612"/>
    <w:rsid w:val="00845E20"/>
    <w:rsid w:val="008516A3"/>
    <w:rsid w:val="00853329"/>
    <w:rsid w:val="00853450"/>
    <w:rsid w:val="00853816"/>
    <w:rsid w:val="0085640E"/>
    <w:rsid w:val="0085701F"/>
    <w:rsid w:val="00857586"/>
    <w:rsid w:val="00857A2D"/>
    <w:rsid w:val="008653A2"/>
    <w:rsid w:val="00865938"/>
    <w:rsid w:val="00867180"/>
    <w:rsid w:val="008672DB"/>
    <w:rsid w:val="00867A9B"/>
    <w:rsid w:val="008720AC"/>
    <w:rsid w:val="00872370"/>
    <w:rsid w:val="00876635"/>
    <w:rsid w:val="0087715B"/>
    <w:rsid w:val="00880098"/>
    <w:rsid w:val="00881718"/>
    <w:rsid w:val="00883170"/>
    <w:rsid w:val="0088414F"/>
    <w:rsid w:val="00884AD3"/>
    <w:rsid w:val="008864A9"/>
    <w:rsid w:val="00892167"/>
    <w:rsid w:val="00894B80"/>
    <w:rsid w:val="00896A93"/>
    <w:rsid w:val="008972FF"/>
    <w:rsid w:val="008A11FD"/>
    <w:rsid w:val="008A435B"/>
    <w:rsid w:val="008A4400"/>
    <w:rsid w:val="008A581D"/>
    <w:rsid w:val="008A5840"/>
    <w:rsid w:val="008A6F7F"/>
    <w:rsid w:val="008B1761"/>
    <w:rsid w:val="008B4BE2"/>
    <w:rsid w:val="008B6F08"/>
    <w:rsid w:val="008C0643"/>
    <w:rsid w:val="008C0B92"/>
    <w:rsid w:val="008C2C8F"/>
    <w:rsid w:val="008C2E62"/>
    <w:rsid w:val="008C2EC6"/>
    <w:rsid w:val="008C3359"/>
    <w:rsid w:val="008C5C64"/>
    <w:rsid w:val="008C69CE"/>
    <w:rsid w:val="008C7678"/>
    <w:rsid w:val="008C776B"/>
    <w:rsid w:val="008C7C4F"/>
    <w:rsid w:val="008D0276"/>
    <w:rsid w:val="008D0693"/>
    <w:rsid w:val="008D12E1"/>
    <w:rsid w:val="008D5067"/>
    <w:rsid w:val="008D5D74"/>
    <w:rsid w:val="008D62C9"/>
    <w:rsid w:val="008D6C35"/>
    <w:rsid w:val="008D7355"/>
    <w:rsid w:val="008E05F3"/>
    <w:rsid w:val="008E0C41"/>
    <w:rsid w:val="008E3A84"/>
    <w:rsid w:val="008E4C25"/>
    <w:rsid w:val="008E6A00"/>
    <w:rsid w:val="008F0F30"/>
    <w:rsid w:val="008F2B34"/>
    <w:rsid w:val="008F2DE5"/>
    <w:rsid w:val="008F3A68"/>
    <w:rsid w:val="008F47EC"/>
    <w:rsid w:val="008F7655"/>
    <w:rsid w:val="008F793A"/>
    <w:rsid w:val="008F7EE4"/>
    <w:rsid w:val="0090040B"/>
    <w:rsid w:val="00902AD1"/>
    <w:rsid w:val="00902E47"/>
    <w:rsid w:val="00903079"/>
    <w:rsid w:val="00903700"/>
    <w:rsid w:val="009053A1"/>
    <w:rsid w:val="009055BE"/>
    <w:rsid w:val="00907585"/>
    <w:rsid w:val="00910C7A"/>
    <w:rsid w:val="00917FAB"/>
    <w:rsid w:val="00920D47"/>
    <w:rsid w:val="009232D2"/>
    <w:rsid w:val="00924888"/>
    <w:rsid w:val="0092490B"/>
    <w:rsid w:val="009260DD"/>
    <w:rsid w:val="0093353E"/>
    <w:rsid w:val="0093761C"/>
    <w:rsid w:val="00937777"/>
    <w:rsid w:val="00937D61"/>
    <w:rsid w:val="00937E2F"/>
    <w:rsid w:val="009416B5"/>
    <w:rsid w:val="00941E16"/>
    <w:rsid w:val="0094244F"/>
    <w:rsid w:val="00942582"/>
    <w:rsid w:val="00943514"/>
    <w:rsid w:val="0094393E"/>
    <w:rsid w:val="00944153"/>
    <w:rsid w:val="0094477A"/>
    <w:rsid w:val="009450E1"/>
    <w:rsid w:val="00946182"/>
    <w:rsid w:val="009467ED"/>
    <w:rsid w:val="00950896"/>
    <w:rsid w:val="00950D31"/>
    <w:rsid w:val="00953D8B"/>
    <w:rsid w:val="00954AC8"/>
    <w:rsid w:val="009555BC"/>
    <w:rsid w:val="00955719"/>
    <w:rsid w:val="00957F4F"/>
    <w:rsid w:val="009614C8"/>
    <w:rsid w:val="00965717"/>
    <w:rsid w:val="0096692E"/>
    <w:rsid w:val="0097024E"/>
    <w:rsid w:val="00970B9E"/>
    <w:rsid w:val="00972E8A"/>
    <w:rsid w:val="0097330F"/>
    <w:rsid w:val="009777A2"/>
    <w:rsid w:val="009806EB"/>
    <w:rsid w:val="00981B2E"/>
    <w:rsid w:val="00981EEE"/>
    <w:rsid w:val="00984B69"/>
    <w:rsid w:val="00985EFA"/>
    <w:rsid w:val="00991531"/>
    <w:rsid w:val="0099276C"/>
    <w:rsid w:val="009941CD"/>
    <w:rsid w:val="009A0817"/>
    <w:rsid w:val="009A0AB0"/>
    <w:rsid w:val="009A39C7"/>
    <w:rsid w:val="009A54D3"/>
    <w:rsid w:val="009A6224"/>
    <w:rsid w:val="009A7D1C"/>
    <w:rsid w:val="009B06F5"/>
    <w:rsid w:val="009B07AA"/>
    <w:rsid w:val="009B22E5"/>
    <w:rsid w:val="009B2784"/>
    <w:rsid w:val="009B3B00"/>
    <w:rsid w:val="009B4458"/>
    <w:rsid w:val="009B4AFD"/>
    <w:rsid w:val="009B5017"/>
    <w:rsid w:val="009B5194"/>
    <w:rsid w:val="009B75DE"/>
    <w:rsid w:val="009C3699"/>
    <w:rsid w:val="009C3FAB"/>
    <w:rsid w:val="009C4444"/>
    <w:rsid w:val="009C5752"/>
    <w:rsid w:val="009C5BC6"/>
    <w:rsid w:val="009C7386"/>
    <w:rsid w:val="009D0D93"/>
    <w:rsid w:val="009D0FAF"/>
    <w:rsid w:val="009D1F18"/>
    <w:rsid w:val="009D3C95"/>
    <w:rsid w:val="009D3D90"/>
    <w:rsid w:val="009D4806"/>
    <w:rsid w:val="009D5D11"/>
    <w:rsid w:val="009D5E95"/>
    <w:rsid w:val="009D6C17"/>
    <w:rsid w:val="009D6CEC"/>
    <w:rsid w:val="009D71EA"/>
    <w:rsid w:val="009E1AE0"/>
    <w:rsid w:val="009E2E9C"/>
    <w:rsid w:val="009E3BFB"/>
    <w:rsid w:val="009E43A8"/>
    <w:rsid w:val="009E5147"/>
    <w:rsid w:val="009E7EE4"/>
    <w:rsid w:val="009F1A93"/>
    <w:rsid w:val="009F1B4B"/>
    <w:rsid w:val="009F2716"/>
    <w:rsid w:val="009F27A8"/>
    <w:rsid w:val="009F2DB8"/>
    <w:rsid w:val="009F3662"/>
    <w:rsid w:val="009F4F56"/>
    <w:rsid w:val="00A011AA"/>
    <w:rsid w:val="00A01ADB"/>
    <w:rsid w:val="00A01CD7"/>
    <w:rsid w:val="00A03308"/>
    <w:rsid w:val="00A03809"/>
    <w:rsid w:val="00A06822"/>
    <w:rsid w:val="00A0754F"/>
    <w:rsid w:val="00A119C5"/>
    <w:rsid w:val="00A15918"/>
    <w:rsid w:val="00A16564"/>
    <w:rsid w:val="00A16AEC"/>
    <w:rsid w:val="00A2205E"/>
    <w:rsid w:val="00A23BF9"/>
    <w:rsid w:val="00A244E1"/>
    <w:rsid w:val="00A252AF"/>
    <w:rsid w:val="00A26853"/>
    <w:rsid w:val="00A30B4A"/>
    <w:rsid w:val="00A30F06"/>
    <w:rsid w:val="00A3118C"/>
    <w:rsid w:val="00A32A8C"/>
    <w:rsid w:val="00A3458A"/>
    <w:rsid w:val="00A3500F"/>
    <w:rsid w:val="00A40467"/>
    <w:rsid w:val="00A40DC2"/>
    <w:rsid w:val="00A419E7"/>
    <w:rsid w:val="00A42215"/>
    <w:rsid w:val="00A45C56"/>
    <w:rsid w:val="00A468CC"/>
    <w:rsid w:val="00A47157"/>
    <w:rsid w:val="00A47A91"/>
    <w:rsid w:val="00A50F2E"/>
    <w:rsid w:val="00A531FA"/>
    <w:rsid w:val="00A538F1"/>
    <w:rsid w:val="00A550B0"/>
    <w:rsid w:val="00A5576B"/>
    <w:rsid w:val="00A60E86"/>
    <w:rsid w:val="00A61511"/>
    <w:rsid w:val="00A62B64"/>
    <w:rsid w:val="00A62DA8"/>
    <w:rsid w:val="00A63247"/>
    <w:rsid w:val="00A633FF"/>
    <w:rsid w:val="00A64D2C"/>
    <w:rsid w:val="00A655EA"/>
    <w:rsid w:val="00A6595A"/>
    <w:rsid w:val="00A65FBB"/>
    <w:rsid w:val="00A66D8E"/>
    <w:rsid w:val="00A705FA"/>
    <w:rsid w:val="00A70BAB"/>
    <w:rsid w:val="00A70E01"/>
    <w:rsid w:val="00A72707"/>
    <w:rsid w:val="00A72801"/>
    <w:rsid w:val="00A7447F"/>
    <w:rsid w:val="00A75659"/>
    <w:rsid w:val="00A7624E"/>
    <w:rsid w:val="00A77D1E"/>
    <w:rsid w:val="00A80529"/>
    <w:rsid w:val="00A821B8"/>
    <w:rsid w:val="00A82605"/>
    <w:rsid w:val="00A8677B"/>
    <w:rsid w:val="00A8677D"/>
    <w:rsid w:val="00A878D6"/>
    <w:rsid w:val="00A8791E"/>
    <w:rsid w:val="00A90A1D"/>
    <w:rsid w:val="00A94897"/>
    <w:rsid w:val="00A95BB6"/>
    <w:rsid w:val="00A96020"/>
    <w:rsid w:val="00A97428"/>
    <w:rsid w:val="00AA00D6"/>
    <w:rsid w:val="00AA1036"/>
    <w:rsid w:val="00AA1345"/>
    <w:rsid w:val="00AA1D6E"/>
    <w:rsid w:val="00AA27D0"/>
    <w:rsid w:val="00AA2A29"/>
    <w:rsid w:val="00AA6218"/>
    <w:rsid w:val="00AA6CE6"/>
    <w:rsid w:val="00AB043E"/>
    <w:rsid w:val="00AB0AC4"/>
    <w:rsid w:val="00AB0CA0"/>
    <w:rsid w:val="00AB1004"/>
    <w:rsid w:val="00AB1701"/>
    <w:rsid w:val="00AB19FD"/>
    <w:rsid w:val="00AB2AEE"/>
    <w:rsid w:val="00AB313A"/>
    <w:rsid w:val="00AB5BB7"/>
    <w:rsid w:val="00AB5F6F"/>
    <w:rsid w:val="00AB6DDB"/>
    <w:rsid w:val="00AC0A8E"/>
    <w:rsid w:val="00AC12CC"/>
    <w:rsid w:val="00AC160B"/>
    <w:rsid w:val="00AC1CB1"/>
    <w:rsid w:val="00AC440F"/>
    <w:rsid w:val="00AC44FE"/>
    <w:rsid w:val="00AC4816"/>
    <w:rsid w:val="00AC5068"/>
    <w:rsid w:val="00AC6428"/>
    <w:rsid w:val="00AC68D6"/>
    <w:rsid w:val="00AC6A9F"/>
    <w:rsid w:val="00AC761A"/>
    <w:rsid w:val="00AD090B"/>
    <w:rsid w:val="00AD1B1B"/>
    <w:rsid w:val="00AD224E"/>
    <w:rsid w:val="00AD26B0"/>
    <w:rsid w:val="00AD3057"/>
    <w:rsid w:val="00AD6797"/>
    <w:rsid w:val="00AD6F22"/>
    <w:rsid w:val="00AE0BEF"/>
    <w:rsid w:val="00AE24A9"/>
    <w:rsid w:val="00AE5BCD"/>
    <w:rsid w:val="00AE6A32"/>
    <w:rsid w:val="00AE779D"/>
    <w:rsid w:val="00AF160C"/>
    <w:rsid w:val="00AF291E"/>
    <w:rsid w:val="00AF597D"/>
    <w:rsid w:val="00AF5B73"/>
    <w:rsid w:val="00B01E27"/>
    <w:rsid w:val="00B036A1"/>
    <w:rsid w:val="00B03ABD"/>
    <w:rsid w:val="00B04D20"/>
    <w:rsid w:val="00B057F2"/>
    <w:rsid w:val="00B05D6C"/>
    <w:rsid w:val="00B100AD"/>
    <w:rsid w:val="00B102CB"/>
    <w:rsid w:val="00B115E1"/>
    <w:rsid w:val="00B11B19"/>
    <w:rsid w:val="00B12528"/>
    <w:rsid w:val="00B1306E"/>
    <w:rsid w:val="00B13280"/>
    <w:rsid w:val="00B14126"/>
    <w:rsid w:val="00B17306"/>
    <w:rsid w:val="00B17C58"/>
    <w:rsid w:val="00B17D5A"/>
    <w:rsid w:val="00B204D1"/>
    <w:rsid w:val="00B22581"/>
    <w:rsid w:val="00B22C7E"/>
    <w:rsid w:val="00B23F97"/>
    <w:rsid w:val="00B243B6"/>
    <w:rsid w:val="00B24C8C"/>
    <w:rsid w:val="00B2517C"/>
    <w:rsid w:val="00B262BB"/>
    <w:rsid w:val="00B265DF"/>
    <w:rsid w:val="00B26CE4"/>
    <w:rsid w:val="00B27843"/>
    <w:rsid w:val="00B27DFF"/>
    <w:rsid w:val="00B302BB"/>
    <w:rsid w:val="00B32BD4"/>
    <w:rsid w:val="00B33B3E"/>
    <w:rsid w:val="00B35B57"/>
    <w:rsid w:val="00B4306A"/>
    <w:rsid w:val="00B456E3"/>
    <w:rsid w:val="00B45E83"/>
    <w:rsid w:val="00B46E53"/>
    <w:rsid w:val="00B4710F"/>
    <w:rsid w:val="00B47F4B"/>
    <w:rsid w:val="00B52C44"/>
    <w:rsid w:val="00B52DEC"/>
    <w:rsid w:val="00B536C4"/>
    <w:rsid w:val="00B53ED4"/>
    <w:rsid w:val="00B57C08"/>
    <w:rsid w:val="00B57CA5"/>
    <w:rsid w:val="00B608C4"/>
    <w:rsid w:val="00B61238"/>
    <w:rsid w:val="00B615FC"/>
    <w:rsid w:val="00B6219C"/>
    <w:rsid w:val="00B625EB"/>
    <w:rsid w:val="00B64F23"/>
    <w:rsid w:val="00B650E2"/>
    <w:rsid w:val="00B677A2"/>
    <w:rsid w:val="00B67A8C"/>
    <w:rsid w:val="00B70A61"/>
    <w:rsid w:val="00B715A4"/>
    <w:rsid w:val="00B715F5"/>
    <w:rsid w:val="00B7192F"/>
    <w:rsid w:val="00B71B71"/>
    <w:rsid w:val="00B72311"/>
    <w:rsid w:val="00B77DD5"/>
    <w:rsid w:val="00B8042F"/>
    <w:rsid w:val="00B82291"/>
    <w:rsid w:val="00B8287D"/>
    <w:rsid w:val="00B82AC2"/>
    <w:rsid w:val="00B8313D"/>
    <w:rsid w:val="00B836CB"/>
    <w:rsid w:val="00B85AB4"/>
    <w:rsid w:val="00B8693E"/>
    <w:rsid w:val="00B86FE8"/>
    <w:rsid w:val="00B87756"/>
    <w:rsid w:val="00B90082"/>
    <w:rsid w:val="00B904F6"/>
    <w:rsid w:val="00B91192"/>
    <w:rsid w:val="00B92350"/>
    <w:rsid w:val="00B93882"/>
    <w:rsid w:val="00B93CAE"/>
    <w:rsid w:val="00B97A97"/>
    <w:rsid w:val="00BA16A0"/>
    <w:rsid w:val="00BA21C0"/>
    <w:rsid w:val="00BA717F"/>
    <w:rsid w:val="00BA765C"/>
    <w:rsid w:val="00BA774C"/>
    <w:rsid w:val="00BB0333"/>
    <w:rsid w:val="00BB09FD"/>
    <w:rsid w:val="00BB0C80"/>
    <w:rsid w:val="00BB1247"/>
    <w:rsid w:val="00BB12B4"/>
    <w:rsid w:val="00BB2959"/>
    <w:rsid w:val="00BB361F"/>
    <w:rsid w:val="00BB3ED3"/>
    <w:rsid w:val="00BB4EDA"/>
    <w:rsid w:val="00BB6084"/>
    <w:rsid w:val="00BB6834"/>
    <w:rsid w:val="00BC1AEC"/>
    <w:rsid w:val="00BC3C54"/>
    <w:rsid w:val="00BC49E1"/>
    <w:rsid w:val="00BC521D"/>
    <w:rsid w:val="00BC5473"/>
    <w:rsid w:val="00BC6FF4"/>
    <w:rsid w:val="00BC7018"/>
    <w:rsid w:val="00BD448C"/>
    <w:rsid w:val="00BD44AC"/>
    <w:rsid w:val="00BD598D"/>
    <w:rsid w:val="00BD67E4"/>
    <w:rsid w:val="00BD7420"/>
    <w:rsid w:val="00BD7AEB"/>
    <w:rsid w:val="00BD7DD4"/>
    <w:rsid w:val="00BD7F31"/>
    <w:rsid w:val="00BE7029"/>
    <w:rsid w:val="00BE7557"/>
    <w:rsid w:val="00BF0679"/>
    <w:rsid w:val="00BF20A3"/>
    <w:rsid w:val="00BF2FDC"/>
    <w:rsid w:val="00BF3282"/>
    <w:rsid w:val="00BF32EB"/>
    <w:rsid w:val="00BF4835"/>
    <w:rsid w:val="00BF4EDB"/>
    <w:rsid w:val="00C0013F"/>
    <w:rsid w:val="00C003ED"/>
    <w:rsid w:val="00C02464"/>
    <w:rsid w:val="00C060D9"/>
    <w:rsid w:val="00C06386"/>
    <w:rsid w:val="00C074EA"/>
    <w:rsid w:val="00C10D16"/>
    <w:rsid w:val="00C14040"/>
    <w:rsid w:val="00C15B73"/>
    <w:rsid w:val="00C16463"/>
    <w:rsid w:val="00C176A5"/>
    <w:rsid w:val="00C20F31"/>
    <w:rsid w:val="00C24E41"/>
    <w:rsid w:val="00C25B3F"/>
    <w:rsid w:val="00C25E48"/>
    <w:rsid w:val="00C26C00"/>
    <w:rsid w:val="00C26FEC"/>
    <w:rsid w:val="00C27203"/>
    <w:rsid w:val="00C27511"/>
    <w:rsid w:val="00C2793F"/>
    <w:rsid w:val="00C30639"/>
    <w:rsid w:val="00C3137A"/>
    <w:rsid w:val="00C326F0"/>
    <w:rsid w:val="00C3440D"/>
    <w:rsid w:val="00C34B6E"/>
    <w:rsid w:val="00C367DB"/>
    <w:rsid w:val="00C37352"/>
    <w:rsid w:val="00C37B42"/>
    <w:rsid w:val="00C404AD"/>
    <w:rsid w:val="00C41EE2"/>
    <w:rsid w:val="00C42F05"/>
    <w:rsid w:val="00C4453D"/>
    <w:rsid w:val="00C51E6B"/>
    <w:rsid w:val="00C53A1A"/>
    <w:rsid w:val="00C55026"/>
    <w:rsid w:val="00C5532C"/>
    <w:rsid w:val="00C55E27"/>
    <w:rsid w:val="00C56367"/>
    <w:rsid w:val="00C606C7"/>
    <w:rsid w:val="00C635F2"/>
    <w:rsid w:val="00C63785"/>
    <w:rsid w:val="00C66F26"/>
    <w:rsid w:val="00C702FE"/>
    <w:rsid w:val="00C71517"/>
    <w:rsid w:val="00C71934"/>
    <w:rsid w:val="00C720E9"/>
    <w:rsid w:val="00C7343A"/>
    <w:rsid w:val="00C74727"/>
    <w:rsid w:val="00C75866"/>
    <w:rsid w:val="00C75E90"/>
    <w:rsid w:val="00C776E4"/>
    <w:rsid w:val="00C77A1F"/>
    <w:rsid w:val="00C77C86"/>
    <w:rsid w:val="00C81B03"/>
    <w:rsid w:val="00C83574"/>
    <w:rsid w:val="00C845DB"/>
    <w:rsid w:val="00C858EB"/>
    <w:rsid w:val="00C859C0"/>
    <w:rsid w:val="00C86892"/>
    <w:rsid w:val="00C909B0"/>
    <w:rsid w:val="00C91136"/>
    <w:rsid w:val="00C91D93"/>
    <w:rsid w:val="00C928F3"/>
    <w:rsid w:val="00C9424A"/>
    <w:rsid w:val="00C961A7"/>
    <w:rsid w:val="00CA017F"/>
    <w:rsid w:val="00CA1A1D"/>
    <w:rsid w:val="00CA2050"/>
    <w:rsid w:val="00CA225D"/>
    <w:rsid w:val="00CA35ED"/>
    <w:rsid w:val="00CA3D9D"/>
    <w:rsid w:val="00CA4A49"/>
    <w:rsid w:val="00CA4B26"/>
    <w:rsid w:val="00CA5B8B"/>
    <w:rsid w:val="00CA64BF"/>
    <w:rsid w:val="00CA6C2E"/>
    <w:rsid w:val="00CA74CD"/>
    <w:rsid w:val="00CA7F88"/>
    <w:rsid w:val="00CB03FF"/>
    <w:rsid w:val="00CB1265"/>
    <w:rsid w:val="00CB1F1F"/>
    <w:rsid w:val="00CB1FB5"/>
    <w:rsid w:val="00CB1FF3"/>
    <w:rsid w:val="00CB21F7"/>
    <w:rsid w:val="00CB4388"/>
    <w:rsid w:val="00CB4600"/>
    <w:rsid w:val="00CB4AD3"/>
    <w:rsid w:val="00CB4E22"/>
    <w:rsid w:val="00CB579C"/>
    <w:rsid w:val="00CB5FF7"/>
    <w:rsid w:val="00CB7496"/>
    <w:rsid w:val="00CB7850"/>
    <w:rsid w:val="00CC0BF7"/>
    <w:rsid w:val="00CC3F0B"/>
    <w:rsid w:val="00CC4B31"/>
    <w:rsid w:val="00CC512B"/>
    <w:rsid w:val="00CC71A3"/>
    <w:rsid w:val="00CD0CA4"/>
    <w:rsid w:val="00CD3199"/>
    <w:rsid w:val="00CD4D0A"/>
    <w:rsid w:val="00CE0114"/>
    <w:rsid w:val="00CE4455"/>
    <w:rsid w:val="00CE448C"/>
    <w:rsid w:val="00CE44B5"/>
    <w:rsid w:val="00CE53CD"/>
    <w:rsid w:val="00CE5E42"/>
    <w:rsid w:val="00CE62C4"/>
    <w:rsid w:val="00CF08FE"/>
    <w:rsid w:val="00CF32D1"/>
    <w:rsid w:val="00CF49B3"/>
    <w:rsid w:val="00D0228B"/>
    <w:rsid w:val="00D04FED"/>
    <w:rsid w:val="00D051A7"/>
    <w:rsid w:val="00D05694"/>
    <w:rsid w:val="00D06AAF"/>
    <w:rsid w:val="00D06DA7"/>
    <w:rsid w:val="00D07812"/>
    <w:rsid w:val="00D1390A"/>
    <w:rsid w:val="00D15E48"/>
    <w:rsid w:val="00D16A29"/>
    <w:rsid w:val="00D16B1D"/>
    <w:rsid w:val="00D16F23"/>
    <w:rsid w:val="00D206D9"/>
    <w:rsid w:val="00D20797"/>
    <w:rsid w:val="00D20DB4"/>
    <w:rsid w:val="00D20ECF"/>
    <w:rsid w:val="00D20FBC"/>
    <w:rsid w:val="00D2215E"/>
    <w:rsid w:val="00D22323"/>
    <w:rsid w:val="00D224F8"/>
    <w:rsid w:val="00D23C1B"/>
    <w:rsid w:val="00D24114"/>
    <w:rsid w:val="00D26124"/>
    <w:rsid w:val="00D2613C"/>
    <w:rsid w:val="00D262A4"/>
    <w:rsid w:val="00D26E20"/>
    <w:rsid w:val="00D30F3F"/>
    <w:rsid w:val="00D330BB"/>
    <w:rsid w:val="00D33CA3"/>
    <w:rsid w:val="00D342FD"/>
    <w:rsid w:val="00D353B6"/>
    <w:rsid w:val="00D3644F"/>
    <w:rsid w:val="00D36E4C"/>
    <w:rsid w:val="00D37CD8"/>
    <w:rsid w:val="00D404C4"/>
    <w:rsid w:val="00D40600"/>
    <w:rsid w:val="00D40A95"/>
    <w:rsid w:val="00D41B7E"/>
    <w:rsid w:val="00D41D68"/>
    <w:rsid w:val="00D424E5"/>
    <w:rsid w:val="00D44BB9"/>
    <w:rsid w:val="00D45441"/>
    <w:rsid w:val="00D501AE"/>
    <w:rsid w:val="00D5043C"/>
    <w:rsid w:val="00D5138A"/>
    <w:rsid w:val="00D513EB"/>
    <w:rsid w:val="00D51843"/>
    <w:rsid w:val="00D51DE6"/>
    <w:rsid w:val="00D520AB"/>
    <w:rsid w:val="00D52EA7"/>
    <w:rsid w:val="00D534ED"/>
    <w:rsid w:val="00D5372D"/>
    <w:rsid w:val="00D53955"/>
    <w:rsid w:val="00D54249"/>
    <w:rsid w:val="00D553C1"/>
    <w:rsid w:val="00D5540C"/>
    <w:rsid w:val="00D55439"/>
    <w:rsid w:val="00D557B6"/>
    <w:rsid w:val="00D575EB"/>
    <w:rsid w:val="00D608AF"/>
    <w:rsid w:val="00D60FF7"/>
    <w:rsid w:val="00D61B39"/>
    <w:rsid w:val="00D62B7E"/>
    <w:rsid w:val="00D63B2E"/>
    <w:rsid w:val="00D64462"/>
    <w:rsid w:val="00D65A82"/>
    <w:rsid w:val="00D66482"/>
    <w:rsid w:val="00D66B1C"/>
    <w:rsid w:val="00D712B1"/>
    <w:rsid w:val="00D71F64"/>
    <w:rsid w:val="00D75517"/>
    <w:rsid w:val="00D76F24"/>
    <w:rsid w:val="00D80248"/>
    <w:rsid w:val="00D803FE"/>
    <w:rsid w:val="00D814BE"/>
    <w:rsid w:val="00D81593"/>
    <w:rsid w:val="00D82CED"/>
    <w:rsid w:val="00D863BA"/>
    <w:rsid w:val="00D92001"/>
    <w:rsid w:val="00D93266"/>
    <w:rsid w:val="00D936FA"/>
    <w:rsid w:val="00D95473"/>
    <w:rsid w:val="00D96E22"/>
    <w:rsid w:val="00D97E13"/>
    <w:rsid w:val="00DA00FD"/>
    <w:rsid w:val="00DA1B1B"/>
    <w:rsid w:val="00DA348C"/>
    <w:rsid w:val="00DA476C"/>
    <w:rsid w:val="00DA6F88"/>
    <w:rsid w:val="00DA70D9"/>
    <w:rsid w:val="00DA75B2"/>
    <w:rsid w:val="00DA7FBA"/>
    <w:rsid w:val="00DB36E9"/>
    <w:rsid w:val="00DB4140"/>
    <w:rsid w:val="00DB5599"/>
    <w:rsid w:val="00DC281B"/>
    <w:rsid w:val="00DC2962"/>
    <w:rsid w:val="00DC2BCA"/>
    <w:rsid w:val="00DC3A37"/>
    <w:rsid w:val="00DC6D65"/>
    <w:rsid w:val="00DD0933"/>
    <w:rsid w:val="00DD226D"/>
    <w:rsid w:val="00DD6FB0"/>
    <w:rsid w:val="00DE02F0"/>
    <w:rsid w:val="00DE24FE"/>
    <w:rsid w:val="00DE3636"/>
    <w:rsid w:val="00DE3E0E"/>
    <w:rsid w:val="00DE49B1"/>
    <w:rsid w:val="00DE533F"/>
    <w:rsid w:val="00DE5420"/>
    <w:rsid w:val="00DE5825"/>
    <w:rsid w:val="00DE584F"/>
    <w:rsid w:val="00DF08B7"/>
    <w:rsid w:val="00DF0A68"/>
    <w:rsid w:val="00DF0B15"/>
    <w:rsid w:val="00DF1A9D"/>
    <w:rsid w:val="00DF33E9"/>
    <w:rsid w:val="00DF452D"/>
    <w:rsid w:val="00DF6BD8"/>
    <w:rsid w:val="00DF7EC7"/>
    <w:rsid w:val="00E000DE"/>
    <w:rsid w:val="00E0051F"/>
    <w:rsid w:val="00E00B8D"/>
    <w:rsid w:val="00E012ED"/>
    <w:rsid w:val="00E01FA6"/>
    <w:rsid w:val="00E02CA3"/>
    <w:rsid w:val="00E045B0"/>
    <w:rsid w:val="00E04EC1"/>
    <w:rsid w:val="00E0512C"/>
    <w:rsid w:val="00E05688"/>
    <w:rsid w:val="00E061DC"/>
    <w:rsid w:val="00E10590"/>
    <w:rsid w:val="00E1493C"/>
    <w:rsid w:val="00E14D23"/>
    <w:rsid w:val="00E14F44"/>
    <w:rsid w:val="00E170A6"/>
    <w:rsid w:val="00E1797B"/>
    <w:rsid w:val="00E17A7B"/>
    <w:rsid w:val="00E20399"/>
    <w:rsid w:val="00E21096"/>
    <w:rsid w:val="00E265C7"/>
    <w:rsid w:val="00E275E4"/>
    <w:rsid w:val="00E27AD4"/>
    <w:rsid w:val="00E306A6"/>
    <w:rsid w:val="00E30A82"/>
    <w:rsid w:val="00E344CB"/>
    <w:rsid w:val="00E36F99"/>
    <w:rsid w:val="00E37094"/>
    <w:rsid w:val="00E40409"/>
    <w:rsid w:val="00E419E4"/>
    <w:rsid w:val="00E42B1E"/>
    <w:rsid w:val="00E43DC0"/>
    <w:rsid w:val="00E44B9C"/>
    <w:rsid w:val="00E44D3E"/>
    <w:rsid w:val="00E505DC"/>
    <w:rsid w:val="00E52F9B"/>
    <w:rsid w:val="00E54D3D"/>
    <w:rsid w:val="00E5578A"/>
    <w:rsid w:val="00E6019A"/>
    <w:rsid w:val="00E604E7"/>
    <w:rsid w:val="00E61986"/>
    <w:rsid w:val="00E62944"/>
    <w:rsid w:val="00E63EB9"/>
    <w:rsid w:val="00E63F1E"/>
    <w:rsid w:val="00E64B24"/>
    <w:rsid w:val="00E6574A"/>
    <w:rsid w:val="00E66FB9"/>
    <w:rsid w:val="00E71524"/>
    <w:rsid w:val="00E71AC0"/>
    <w:rsid w:val="00E72E15"/>
    <w:rsid w:val="00E7708B"/>
    <w:rsid w:val="00E77137"/>
    <w:rsid w:val="00E77A14"/>
    <w:rsid w:val="00E8217F"/>
    <w:rsid w:val="00E86A56"/>
    <w:rsid w:val="00E875D2"/>
    <w:rsid w:val="00E87E62"/>
    <w:rsid w:val="00E91662"/>
    <w:rsid w:val="00E95D06"/>
    <w:rsid w:val="00E95E7E"/>
    <w:rsid w:val="00E966F5"/>
    <w:rsid w:val="00E96982"/>
    <w:rsid w:val="00E971AF"/>
    <w:rsid w:val="00EA062C"/>
    <w:rsid w:val="00EA0EA4"/>
    <w:rsid w:val="00EA330C"/>
    <w:rsid w:val="00EA42D2"/>
    <w:rsid w:val="00EB2B98"/>
    <w:rsid w:val="00EB38CC"/>
    <w:rsid w:val="00EB5345"/>
    <w:rsid w:val="00EB70F1"/>
    <w:rsid w:val="00EC544B"/>
    <w:rsid w:val="00EC6988"/>
    <w:rsid w:val="00EC7604"/>
    <w:rsid w:val="00ED4355"/>
    <w:rsid w:val="00ED63D5"/>
    <w:rsid w:val="00ED6452"/>
    <w:rsid w:val="00EE0648"/>
    <w:rsid w:val="00EE11B5"/>
    <w:rsid w:val="00EE26B0"/>
    <w:rsid w:val="00EE3D23"/>
    <w:rsid w:val="00EE5787"/>
    <w:rsid w:val="00EE597A"/>
    <w:rsid w:val="00EE793E"/>
    <w:rsid w:val="00EF07A3"/>
    <w:rsid w:val="00EF324E"/>
    <w:rsid w:val="00EF5682"/>
    <w:rsid w:val="00EF6683"/>
    <w:rsid w:val="00EF6B15"/>
    <w:rsid w:val="00F000F0"/>
    <w:rsid w:val="00F00800"/>
    <w:rsid w:val="00F04CAA"/>
    <w:rsid w:val="00F05A15"/>
    <w:rsid w:val="00F05D97"/>
    <w:rsid w:val="00F075A2"/>
    <w:rsid w:val="00F1194A"/>
    <w:rsid w:val="00F11CA1"/>
    <w:rsid w:val="00F1445D"/>
    <w:rsid w:val="00F152FC"/>
    <w:rsid w:val="00F1718D"/>
    <w:rsid w:val="00F21920"/>
    <w:rsid w:val="00F21972"/>
    <w:rsid w:val="00F22BB5"/>
    <w:rsid w:val="00F22D14"/>
    <w:rsid w:val="00F31A16"/>
    <w:rsid w:val="00F328E3"/>
    <w:rsid w:val="00F32C9D"/>
    <w:rsid w:val="00F335FC"/>
    <w:rsid w:val="00F33859"/>
    <w:rsid w:val="00F34CCC"/>
    <w:rsid w:val="00F3527B"/>
    <w:rsid w:val="00F4019B"/>
    <w:rsid w:val="00F40481"/>
    <w:rsid w:val="00F410A3"/>
    <w:rsid w:val="00F417E1"/>
    <w:rsid w:val="00F41A0B"/>
    <w:rsid w:val="00F41C2B"/>
    <w:rsid w:val="00F42A80"/>
    <w:rsid w:val="00F4369B"/>
    <w:rsid w:val="00F43B53"/>
    <w:rsid w:val="00F44CFA"/>
    <w:rsid w:val="00F45402"/>
    <w:rsid w:val="00F46273"/>
    <w:rsid w:val="00F533FE"/>
    <w:rsid w:val="00F53D4F"/>
    <w:rsid w:val="00F53E04"/>
    <w:rsid w:val="00F5641E"/>
    <w:rsid w:val="00F5664F"/>
    <w:rsid w:val="00F56CCA"/>
    <w:rsid w:val="00F61AA2"/>
    <w:rsid w:val="00F64F46"/>
    <w:rsid w:val="00F65402"/>
    <w:rsid w:val="00F65A69"/>
    <w:rsid w:val="00F70418"/>
    <w:rsid w:val="00F70710"/>
    <w:rsid w:val="00F70EEE"/>
    <w:rsid w:val="00F70F66"/>
    <w:rsid w:val="00F729C8"/>
    <w:rsid w:val="00F73A24"/>
    <w:rsid w:val="00F746A1"/>
    <w:rsid w:val="00F74D24"/>
    <w:rsid w:val="00F74FA0"/>
    <w:rsid w:val="00F83586"/>
    <w:rsid w:val="00F865FB"/>
    <w:rsid w:val="00F87638"/>
    <w:rsid w:val="00F87A1C"/>
    <w:rsid w:val="00F87A47"/>
    <w:rsid w:val="00F90310"/>
    <w:rsid w:val="00F912A3"/>
    <w:rsid w:val="00F97049"/>
    <w:rsid w:val="00F9797B"/>
    <w:rsid w:val="00FA091D"/>
    <w:rsid w:val="00FA1452"/>
    <w:rsid w:val="00FA2493"/>
    <w:rsid w:val="00FA4562"/>
    <w:rsid w:val="00FA4F30"/>
    <w:rsid w:val="00FA5182"/>
    <w:rsid w:val="00FA5515"/>
    <w:rsid w:val="00FA5522"/>
    <w:rsid w:val="00FA56E2"/>
    <w:rsid w:val="00FA5EA1"/>
    <w:rsid w:val="00FB0E16"/>
    <w:rsid w:val="00FB14BA"/>
    <w:rsid w:val="00FB1924"/>
    <w:rsid w:val="00FB1F9B"/>
    <w:rsid w:val="00FB324D"/>
    <w:rsid w:val="00FB366B"/>
    <w:rsid w:val="00FB4F94"/>
    <w:rsid w:val="00FB5823"/>
    <w:rsid w:val="00FC0355"/>
    <w:rsid w:val="00FC1B79"/>
    <w:rsid w:val="00FC49DC"/>
    <w:rsid w:val="00FC5CB6"/>
    <w:rsid w:val="00FC606C"/>
    <w:rsid w:val="00FC6FEF"/>
    <w:rsid w:val="00FC74DC"/>
    <w:rsid w:val="00FD100E"/>
    <w:rsid w:val="00FD2535"/>
    <w:rsid w:val="00FD3E7C"/>
    <w:rsid w:val="00FD4EA0"/>
    <w:rsid w:val="00FD552B"/>
    <w:rsid w:val="00FD6F5E"/>
    <w:rsid w:val="00FE01B6"/>
    <w:rsid w:val="00FE10D7"/>
    <w:rsid w:val="00FE27A3"/>
    <w:rsid w:val="00FE2EE1"/>
    <w:rsid w:val="00FF258E"/>
    <w:rsid w:val="00FF2BEF"/>
    <w:rsid w:val="00FF2C0E"/>
    <w:rsid w:val="00FF3CD3"/>
    <w:rsid w:val="00FF4008"/>
    <w:rsid w:val="00FF45F6"/>
    <w:rsid w:val="00FF58A6"/>
    <w:rsid w:val="00FF60E5"/>
    <w:rsid w:val="00FF6AD0"/>
    <w:rsid w:val="01B059B4"/>
    <w:rsid w:val="01DF569B"/>
    <w:rsid w:val="024A4C5B"/>
    <w:rsid w:val="02BF0C0D"/>
    <w:rsid w:val="02E21369"/>
    <w:rsid w:val="03454670"/>
    <w:rsid w:val="039D7B0C"/>
    <w:rsid w:val="03C803FF"/>
    <w:rsid w:val="03EF34DA"/>
    <w:rsid w:val="042C1A7C"/>
    <w:rsid w:val="05293D91"/>
    <w:rsid w:val="0599513E"/>
    <w:rsid w:val="05B76D4E"/>
    <w:rsid w:val="0765534E"/>
    <w:rsid w:val="085260D0"/>
    <w:rsid w:val="08690DCC"/>
    <w:rsid w:val="08916017"/>
    <w:rsid w:val="08C353B5"/>
    <w:rsid w:val="09213ECF"/>
    <w:rsid w:val="09F672FB"/>
    <w:rsid w:val="09FE618C"/>
    <w:rsid w:val="0A4434E6"/>
    <w:rsid w:val="0A820445"/>
    <w:rsid w:val="0B592E68"/>
    <w:rsid w:val="0BF6325C"/>
    <w:rsid w:val="0CA4594F"/>
    <w:rsid w:val="0CC51657"/>
    <w:rsid w:val="0D07682D"/>
    <w:rsid w:val="0E5D5F4F"/>
    <w:rsid w:val="0E5F40E2"/>
    <w:rsid w:val="0E8D1BC1"/>
    <w:rsid w:val="0EAC0220"/>
    <w:rsid w:val="0EF875AC"/>
    <w:rsid w:val="0F3112EB"/>
    <w:rsid w:val="0F845462"/>
    <w:rsid w:val="0FE17D86"/>
    <w:rsid w:val="100479BA"/>
    <w:rsid w:val="101625F9"/>
    <w:rsid w:val="1078459C"/>
    <w:rsid w:val="108C0333"/>
    <w:rsid w:val="10A512CB"/>
    <w:rsid w:val="10D300BA"/>
    <w:rsid w:val="119F3EB5"/>
    <w:rsid w:val="121F0A62"/>
    <w:rsid w:val="1223333C"/>
    <w:rsid w:val="128E24C0"/>
    <w:rsid w:val="12CC448D"/>
    <w:rsid w:val="12F01FF4"/>
    <w:rsid w:val="130E6147"/>
    <w:rsid w:val="134A464F"/>
    <w:rsid w:val="1375389E"/>
    <w:rsid w:val="139F5BA5"/>
    <w:rsid w:val="13EA1644"/>
    <w:rsid w:val="14614F07"/>
    <w:rsid w:val="14FD6624"/>
    <w:rsid w:val="15005D5E"/>
    <w:rsid w:val="15746461"/>
    <w:rsid w:val="15F01733"/>
    <w:rsid w:val="16985512"/>
    <w:rsid w:val="16F90DC7"/>
    <w:rsid w:val="17493127"/>
    <w:rsid w:val="190B0C6A"/>
    <w:rsid w:val="195B5480"/>
    <w:rsid w:val="1A7B7963"/>
    <w:rsid w:val="1AA75DE1"/>
    <w:rsid w:val="1ABA79F0"/>
    <w:rsid w:val="1C954CD3"/>
    <w:rsid w:val="1CD20F9E"/>
    <w:rsid w:val="1D6170FD"/>
    <w:rsid w:val="1EC3591B"/>
    <w:rsid w:val="1FD80CE9"/>
    <w:rsid w:val="1FED7FDB"/>
    <w:rsid w:val="21126CC8"/>
    <w:rsid w:val="214E3684"/>
    <w:rsid w:val="22DB19F6"/>
    <w:rsid w:val="244D045D"/>
    <w:rsid w:val="24D70803"/>
    <w:rsid w:val="24DC11E2"/>
    <w:rsid w:val="24E858E7"/>
    <w:rsid w:val="258F1324"/>
    <w:rsid w:val="2663553C"/>
    <w:rsid w:val="2700149A"/>
    <w:rsid w:val="27113DF2"/>
    <w:rsid w:val="273D0E73"/>
    <w:rsid w:val="2741180D"/>
    <w:rsid w:val="278A23FC"/>
    <w:rsid w:val="28524617"/>
    <w:rsid w:val="29022904"/>
    <w:rsid w:val="29051658"/>
    <w:rsid w:val="29F910F6"/>
    <w:rsid w:val="2A17496B"/>
    <w:rsid w:val="2A1874B1"/>
    <w:rsid w:val="2A4338D7"/>
    <w:rsid w:val="2B0242A6"/>
    <w:rsid w:val="2B5C087C"/>
    <w:rsid w:val="2B931B22"/>
    <w:rsid w:val="2DAD7DB7"/>
    <w:rsid w:val="2F210DFA"/>
    <w:rsid w:val="2F7533DD"/>
    <w:rsid w:val="2F797D86"/>
    <w:rsid w:val="2FCB0C99"/>
    <w:rsid w:val="313178F9"/>
    <w:rsid w:val="314C5FA3"/>
    <w:rsid w:val="318C0385"/>
    <w:rsid w:val="32085602"/>
    <w:rsid w:val="32516971"/>
    <w:rsid w:val="33822144"/>
    <w:rsid w:val="33A87A04"/>
    <w:rsid w:val="343D40C7"/>
    <w:rsid w:val="34A03BA7"/>
    <w:rsid w:val="35935E8E"/>
    <w:rsid w:val="360C7137"/>
    <w:rsid w:val="362023B9"/>
    <w:rsid w:val="37112594"/>
    <w:rsid w:val="377476A3"/>
    <w:rsid w:val="37F86F5C"/>
    <w:rsid w:val="38071815"/>
    <w:rsid w:val="38A03CD5"/>
    <w:rsid w:val="3A6329CF"/>
    <w:rsid w:val="3B8627B0"/>
    <w:rsid w:val="3BC717CD"/>
    <w:rsid w:val="3C924860"/>
    <w:rsid w:val="3D9D0954"/>
    <w:rsid w:val="3E0619B2"/>
    <w:rsid w:val="3E391609"/>
    <w:rsid w:val="3E726DD9"/>
    <w:rsid w:val="3EA523C4"/>
    <w:rsid w:val="3F682865"/>
    <w:rsid w:val="3F9523C5"/>
    <w:rsid w:val="40297F5D"/>
    <w:rsid w:val="40BA0CD1"/>
    <w:rsid w:val="41503FED"/>
    <w:rsid w:val="418170EA"/>
    <w:rsid w:val="423F6A2D"/>
    <w:rsid w:val="42593879"/>
    <w:rsid w:val="433814F8"/>
    <w:rsid w:val="438C1A50"/>
    <w:rsid w:val="43A278AA"/>
    <w:rsid w:val="451D0DEC"/>
    <w:rsid w:val="468D253A"/>
    <w:rsid w:val="4691570A"/>
    <w:rsid w:val="47BD255B"/>
    <w:rsid w:val="47F52965"/>
    <w:rsid w:val="487D7A79"/>
    <w:rsid w:val="4899626D"/>
    <w:rsid w:val="497E4D1E"/>
    <w:rsid w:val="49866168"/>
    <w:rsid w:val="49A15B6E"/>
    <w:rsid w:val="4AD95EF5"/>
    <w:rsid w:val="4B5E33F1"/>
    <w:rsid w:val="4BA278C3"/>
    <w:rsid w:val="4EAD355F"/>
    <w:rsid w:val="4EC86720"/>
    <w:rsid w:val="4FAD2906"/>
    <w:rsid w:val="4FB705FD"/>
    <w:rsid w:val="4FCC041D"/>
    <w:rsid w:val="5021024A"/>
    <w:rsid w:val="50C84539"/>
    <w:rsid w:val="50E45993"/>
    <w:rsid w:val="511756E3"/>
    <w:rsid w:val="52DA5C2F"/>
    <w:rsid w:val="530D3E7E"/>
    <w:rsid w:val="53181BDE"/>
    <w:rsid w:val="53CC408B"/>
    <w:rsid w:val="54F75243"/>
    <w:rsid w:val="552557B9"/>
    <w:rsid w:val="563F1B86"/>
    <w:rsid w:val="564168AC"/>
    <w:rsid w:val="56D20122"/>
    <w:rsid w:val="577A05C3"/>
    <w:rsid w:val="57C5413F"/>
    <w:rsid w:val="58693D69"/>
    <w:rsid w:val="597D7B63"/>
    <w:rsid w:val="5A4C3E28"/>
    <w:rsid w:val="5B3A2B15"/>
    <w:rsid w:val="5C0D553E"/>
    <w:rsid w:val="5C4D2FA7"/>
    <w:rsid w:val="5C6C4180"/>
    <w:rsid w:val="5CD24700"/>
    <w:rsid w:val="5D0B508D"/>
    <w:rsid w:val="5D1D6F0F"/>
    <w:rsid w:val="5D535416"/>
    <w:rsid w:val="5D6B5996"/>
    <w:rsid w:val="5DA960A6"/>
    <w:rsid w:val="5DB04E7E"/>
    <w:rsid w:val="5E211779"/>
    <w:rsid w:val="5E980EC1"/>
    <w:rsid w:val="5EC43F5D"/>
    <w:rsid w:val="60426B68"/>
    <w:rsid w:val="606E1487"/>
    <w:rsid w:val="60A81824"/>
    <w:rsid w:val="61AE1896"/>
    <w:rsid w:val="61ED0BC9"/>
    <w:rsid w:val="62083072"/>
    <w:rsid w:val="62610452"/>
    <w:rsid w:val="6322754D"/>
    <w:rsid w:val="633F55B7"/>
    <w:rsid w:val="639748AE"/>
    <w:rsid w:val="63C264DD"/>
    <w:rsid w:val="64246034"/>
    <w:rsid w:val="649A178E"/>
    <w:rsid w:val="64D27D97"/>
    <w:rsid w:val="65434657"/>
    <w:rsid w:val="66224C06"/>
    <w:rsid w:val="6659393B"/>
    <w:rsid w:val="666A6EFB"/>
    <w:rsid w:val="66F0715C"/>
    <w:rsid w:val="67182DDC"/>
    <w:rsid w:val="676B6E35"/>
    <w:rsid w:val="67E35246"/>
    <w:rsid w:val="67EA6989"/>
    <w:rsid w:val="67ED3307"/>
    <w:rsid w:val="69315BEF"/>
    <w:rsid w:val="6BF204DF"/>
    <w:rsid w:val="6D4E69DD"/>
    <w:rsid w:val="6DDA2864"/>
    <w:rsid w:val="6E0972F7"/>
    <w:rsid w:val="6F2C67B5"/>
    <w:rsid w:val="6F684D67"/>
    <w:rsid w:val="6FA35993"/>
    <w:rsid w:val="6FFB7124"/>
    <w:rsid w:val="713E16A6"/>
    <w:rsid w:val="7157164A"/>
    <w:rsid w:val="716E1D7D"/>
    <w:rsid w:val="72D55149"/>
    <w:rsid w:val="73184212"/>
    <w:rsid w:val="73E2097E"/>
    <w:rsid w:val="74684A16"/>
    <w:rsid w:val="747C0182"/>
    <w:rsid w:val="748B5DC2"/>
    <w:rsid w:val="74C35E1A"/>
    <w:rsid w:val="75162D29"/>
    <w:rsid w:val="764E7F4B"/>
    <w:rsid w:val="765018BC"/>
    <w:rsid w:val="76B03286"/>
    <w:rsid w:val="76B57C32"/>
    <w:rsid w:val="76BE116C"/>
    <w:rsid w:val="77110FDF"/>
    <w:rsid w:val="77152F31"/>
    <w:rsid w:val="777E52B9"/>
    <w:rsid w:val="78132DB2"/>
    <w:rsid w:val="789E0574"/>
    <w:rsid w:val="798B18C0"/>
    <w:rsid w:val="79B8094F"/>
    <w:rsid w:val="79DF57BC"/>
    <w:rsid w:val="7A135EF4"/>
    <w:rsid w:val="7B074467"/>
    <w:rsid w:val="7B0E580B"/>
    <w:rsid w:val="7BD2675D"/>
    <w:rsid w:val="7C2F21E7"/>
    <w:rsid w:val="7C3A371B"/>
    <w:rsid w:val="7C68442B"/>
    <w:rsid w:val="7CC30372"/>
    <w:rsid w:val="7F284C33"/>
    <w:rsid w:val="7F320C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character" w:default="1" w:styleId="23">
    <w:name w:val="Default Paragraph Font"/>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4">
    <w:name w:val="Normal Indent"/>
    <w:basedOn w:val="1"/>
    <w:link w:val="41"/>
    <w:qFormat/>
    <w:uiPriority w:val="0"/>
    <w:pPr>
      <w:ind w:firstLine="420" w:firstLineChars="200"/>
    </w:pPr>
  </w:style>
  <w:style w:type="paragraph" w:styleId="5">
    <w:name w:val="annotation text"/>
    <w:basedOn w:val="1"/>
    <w:link w:val="43"/>
    <w:unhideWhenUsed/>
    <w:qFormat/>
    <w:uiPriority w:val="99"/>
    <w:pPr>
      <w:jc w:val="left"/>
    </w:pPr>
  </w:style>
  <w:style w:type="paragraph" w:styleId="6">
    <w:name w:val="Body Text Indent"/>
    <w:basedOn w:val="1"/>
    <w:next w:val="7"/>
    <w:link w:val="47"/>
    <w:qFormat/>
    <w:uiPriority w:val="0"/>
    <w:pPr>
      <w:spacing w:after="120" w:afterLines="0"/>
      <w:ind w:left="420" w:leftChars="200"/>
    </w:pPr>
    <w:rPr>
      <w:rFonts w:eastAsia="宋体"/>
      <w:kern w:val="2"/>
      <w:sz w:val="21"/>
      <w:szCs w:val="24"/>
      <w:lang w:val="en-US" w:eastAsia="zh-CN" w:bidi="ar-SA"/>
    </w:rPr>
  </w:style>
  <w:style w:type="paragraph" w:styleId="7">
    <w:name w:val="envelope return"/>
    <w:basedOn w:val="1"/>
    <w:unhideWhenUsed/>
    <w:qFormat/>
    <w:uiPriority w:val="99"/>
    <w:pPr>
      <w:snapToGrid w:val="0"/>
    </w:pPr>
    <w:rPr>
      <w:rFonts w:ascii="Arial" w:hAnsi="Arial"/>
    </w:rPr>
  </w:style>
  <w:style w:type="paragraph" w:styleId="8">
    <w:name w:val="toc 3"/>
    <w:basedOn w:val="1"/>
    <w:next w:val="1"/>
    <w:qFormat/>
    <w:uiPriority w:val="0"/>
    <w:pPr>
      <w:ind w:left="420"/>
      <w:jc w:val="left"/>
    </w:pPr>
    <w:rPr>
      <w:i/>
      <w:sz w:val="20"/>
      <w:szCs w:val="20"/>
    </w:rPr>
  </w:style>
  <w:style w:type="paragraph" w:styleId="9">
    <w:name w:val="Plain Text"/>
    <w:basedOn w:val="1"/>
    <w:link w:val="46"/>
    <w:qFormat/>
    <w:uiPriority w:val="0"/>
    <w:rPr>
      <w:rFonts w:ascii="宋体" w:hAnsi="Courier New"/>
      <w:szCs w:val="20"/>
    </w:rPr>
  </w:style>
  <w:style w:type="paragraph" w:styleId="10">
    <w:name w:val="Date"/>
    <w:basedOn w:val="1"/>
    <w:next w:val="1"/>
    <w:qFormat/>
    <w:uiPriority w:val="0"/>
    <w:pPr>
      <w:ind w:left="100" w:leftChars="2500"/>
    </w:pPr>
  </w:style>
  <w:style w:type="paragraph" w:styleId="11">
    <w:name w:val="Balloon Text"/>
    <w:basedOn w:val="1"/>
    <w:link w:val="39"/>
    <w:unhideWhenUsed/>
    <w:qFormat/>
    <w:uiPriority w:val="99"/>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Body Text 2"/>
    <w:basedOn w:val="1"/>
    <w:qFormat/>
    <w:uiPriority w:val="0"/>
    <w:pPr>
      <w:spacing w:after="120" w:line="480" w:lineRule="auto"/>
    </w:pPr>
  </w:style>
  <w:style w:type="paragraph" w:styleId="17">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18">
    <w:name w:val="Title"/>
    <w:basedOn w:val="1"/>
    <w:qFormat/>
    <w:uiPriority w:val="0"/>
    <w:pPr>
      <w:spacing w:before="240" w:beforeLines="0" w:after="60" w:afterLines="0"/>
      <w:jc w:val="center"/>
      <w:outlineLvl w:val="0"/>
    </w:pPr>
    <w:rPr>
      <w:rFonts w:ascii="Arial" w:hAnsi="Arial" w:cs="Arial"/>
      <w:b/>
      <w:bCs/>
      <w:sz w:val="32"/>
      <w:szCs w:val="32"/>
    </w:rPr>
  </w:style>
  <w:style w:type="paragraph" w:styleId="19">
    <w:name w:val="annotation subject"/>
    <w:basedOn w:val="5"/>
    <w:next w:val="5"/>
    <w:link w:val="42"/>
    <w:unhideWhenUsed/>
    <w:qFormat/>
    <w:uiPriority w:val="99"/>
    <w:rPr>
      <w:b/>
      <w:bCs/>
    </w:rPr>
  </w:style>
  <w:style w:type="paragraph" w:styleId="20">
    <w:name w:val="Body Text First Indent 2"/>
    <w:basedOn w:val="6"/>
    <w:unhideWhenUsed/>
    <w:qFormat/>
    <w:uiPriority w:val="99"/>
    <w:pPr>
      <w:spacing w:after="120" w:line="240" w:lineRule="auto"/>
      <w:ind w:left="420" w:leftChars="200" w:firstLine="200" w:firstLineChars="200"/>
    </w:pPr>
    <w:rPr>
      <w:kern w:val="2"/>
      <w:sz w:val="21"/>
      <w:szCs w:val="24"/>
    </w:rPr>
  </w:style>
  <w:style w:type="table" w:styleId="22">
    <w:name w:val="Table Grid"/>
    <w:basedOn w:val="2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basedOn w:val="23"/>
    <w:qFormat/>
    <w:uiPriority w:val="22"/>
    <w:rPr>
      <w:b/>
    </w:rPr>
  </w:style>
  <w:style w:type="character" w:styleId="25">
    <w:name w:val="page number"/>
    <w:basedOn w:val="23"/>
    <w:qFormat/>
    <w:uiPriority w:val="0"/>
  </w:style>
  <w:style w:type="character" w:styleId="26">
    <w:name w:val="Hyperlink"/>
    <w:basedOn w:val="23"/>
    <w:unhideWhenUsed/>
    <w:qFormat/>
    <w:uiPriority w:val="99"/>
    <w:rPr>
      <w:color w:val="0000FF"/>
      <w:u w:val="single"/>
    </w:rPr>
  </w:style>
  <w:style w:type="character" w:styleId="27">
    <w:name w:val="annotation reference"/>
    <w:basedOn w:val="23"/>
    <w:unhideWhenUsed/>
    <w:qFormat/>
    <w:uiPriority w:val="99"/>
    <w:rPr>
      <w:sz w:val="21"/>
      <w:szCs w:val="21"/>
    </w:rPr>
  </w:style>
  <w:style w:type="paragraph" w:customStyle="1" w:styleId="28">
    <w:name w:val="标题3"/>
    <w:basedOn w:val="18"/>
    <w:qFormat/>
    <w:uiPriority w:val="0"/>
    <w:pPr>
      <w:spacing w:before="120" w:beforeLines="0" w:after="120" w:afterLines="0" w:line="560" w:lineRule="exact"/>
      <w:jc w:val="left"/>
    </w:pPr>
    <w:rPr>
      <w:rFonts w:ascii="仿宋_GB2312"/>
      <w:sz w:val="28"/>
    </w:rPr>
  </w:style>
  <w:style w:type="paragraph" w:customStyle="1" w:styleId="29">
    <w:name w:val="ces正文"/>
    <w:basedOn w:val="1"/>
    <w:qFormat/>
    <w:uiPriority w:val="0"/>
    <w:pPr>
      <w:spacing w:line="360" w:lineRule="auto"/>
      <w:ind w:firstLine="480" w:firstLineChars="200"/>
    </w:pPr>
    <w:rPr>
      <w:rFonts w:ascii="宋体" w:hAnsi="宋体"/>
      <w:sz w:val="24"/>
      <w:szCs w:val="24"/>
    </w:rPr>
  </w:style>
  <w:style w:type="paragraph" w:customStyle="1" w:styleId="30">
    <w:name w:val="_Style 28"/>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1">
    <w:name w:val="Plain Text"/>
    <w:basedOn w:val="1"/>
    <w:qFormat/>
    <w:uiPriority w:val="0"/>
    <w:rPr>
      <w:rFonts w:ascii="宋体" w:hAnsi="Courier New" w:eastAsia="Times New Roman"/>
      <w:szCs w:val="20"/>
    </w:rPr>
  </w:style>
  <w:style w:type="paragraph" w:customStyle="1" w:styleId="32">
    <w:name w:val="标准正文"/>
    <w:basedOn w:val="1"/>
    <w:qFormat/>
    <w:uiPriority w:val="0"/>
    <w:pPr>
      <w:snapToGrid w:val="0"/>
      <w:spacing w:line="312" w:lineRule="auto"/>
      <w:ind w:firstLine="482"/>
    </w:pPr>
    <w:rPr>
      <w:sz w:val="24"/>
      <w:szCs w:val="20"/>
    </w:rPr>
  </w:style>
  <w:style w:type="paragraph" w:customStyle="1" w:styleId="33">
    <w:name w:val="正文缩进2格"/>
    <w:basedOn w:val="1"/>
    <w:link w:val="37"/>
    <w:qFormat/>
    <w:uiPriority w:val="0"/>
    <w:pPr>
      <w:spacing w:line="600" w:lineRule="exact"/>
      <w:ind w:firstLine="639" w:firstLineChars="206"/>
    </w:pPr>
    <w:rPr>
      <w:rFonts w:ascii="仿宋_GB2312" w:hAnsi="宋体" w:eastAsia="仿宋_GB2312"/>
      <w:sz w:val="31"/>
      <w:szCs w:val="28"/>
    </w:rPr>
  </w:style>
  <w:style w:type="paragraph" w:customStyle="1" w:styleId="3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font31"/>
    <w:basedOn w:val="23"/>
    <w:qFormat/>
    <w:uiPriority w:val="0"/>
    <w:rPr>
      <w:rFonts w:hint="eastAsia" w:ascii="宋体" w:hAnsi="宋体" w:eastAsia="宋体" w:cs="宋体"/>
      <w:color w:val="000000"/>
      <w:sz w:val="16"/>
      <w:szCs w:val="16"/>
      <w:u w:val="none"/>
    </w:rPr>
  </w:style>
  <w:style w:type="character" w:customStyle="1" w:styleId="37">
    <w:name w:val="正文缩进2格 Char Char"/>
    <w:link w:val="33"/>
    <w:qFormat/>
    <w:uiPriority w:val="0"/>
    <w:rPr>
      <w:rFonts w:ascii="仿宋_GB2312" w:hAnsi="宋体" w:eastAsia="仿宋_GB2312"/>
      <w:kern w:val="2"/>
      <w:sz w:val="31"/>
      <w:szCs w:val="28"/>
      <w:lang w:val="en-US" w:eastAsia="zh-CN" w:bidi="ar-SA"/>
    </w:rPr>
  </w:style>
  <w:style w:type="character" w:customStyle="1" w:styleId="38">
    <w:name w:val="标题 1 Char"/>
    <w:basedOn w:val="23"/>
    <w:link w:val="3"/>
    <w:qFormat/>
    <w:uiPriority w:val="9"/>
    <w:rPr>
      <w:b/>
      <w:bCs/>
      <w:kern w:val="44"/>
      <w:sz w:val="44"/>
      <w:szCs w:val="44"/>
    </w:rPr>
  </w:style>
  <w:style w:type="character" w:customStyle="1" w:styleId="39">
    <w:name w:val="批注框文本 Char"/>
    <w:basedOn w:val="23"/>
    <w:link w:val="11"/>
    <w:semiHidden/>
    <w:qFormat/>
    <w:uiPriority w:val="99"/>
    <w:rPr>
      <w:kern w:val="2"/>
      <w:sz w:val="18"/>
      <w:szCs w:val="18"/>
    </w:rPr>
  </w:style>
  <w:style w:type="character" w:customStyle="1" w:styleId="40">
    <w:name w:val="标题 1 Char Char"/>
    <w:qFormat/>
    <w:uiPriority w:val="0"/>
    <w:rPr>
      <w:rFonts w:eastAsia="宋体"/>
      <w:b/>
      <w:spacing w:val="-2"/>
      <w:sz w:val="24"/>
      <w:lang w:val="en-US" w:eastAsia="zh-CN"/>
    </w:rPr>
  </w:style>
  <w:style w:type="character" w:customStyle="1" w:styleId="41">
    <w:name w:val="正文缩进 Char"/>
    <w:link w:val="4"/>
    <w:qFormat/>
    <w:uiPriority w:val="0"/>
    <w:rPr>
      <w:rFonts w:eastAsia="宋体"/>
      <w:kern w:val="2"/>
      <w:sz w:val="21"/>
      <w:szCs w:val="24"/>
      <w:lang w:val="en-US" w:eastAsia="zh-CN" w:bidi="ar-SA"/>
    </w:rPr>
  </w:style>
  <w:style w:type="character" w:customStyle="1" w:styleId="42">
    <w:name w:val="批注主题 Char"/>
    <w:basedOn w:val="43"/>
    <w:link w:val="19"/>
    <w:semiHidden/>
    <w:qFormat/>
    <w:uiPriority w:val="99"/>
    <w:rPr>
      <w:b/>
      <w:bCs/>
    </w:rPr>
  </w:style>
  <w:style w:type="character" w:customStyle="1" w:styleId="43">
    <w:name w:val="批注文字 Char"/>
    <w:basedOn w:val="23"/>
    <w:link w:val="5"/>
    <w:semiHidden/>
    <w:qFormat/>
    <w:uiPriority w:val="99"/>
    <w:rPr>
      <w:kern w:val="2"/>
      <w:sz w:val="21"/>
      <w:szCs w:val="24"/>
    </w:rPr>
  </w:style>
  <w:style w:type="character" w:customStyle="1" w:styleId="44">
    <w:name w:val=" Char Char4"/>
    <w:qFormat/>
    <w:locked/>
    <w:uiPriority w:val="0"/>
    <w:rPr>
      <w:szCs w:val="24"/>
    </w:rPr>
  </w:style>
  <w:style w:type="character" w:customStyle="1" w:styleId="45">
    <w:name w:val="四号 Char1"/>
    <w:basedOn w:val="23"/>
    <w:qFormat/>
    <w:uiPriority w:val="0"/>
    <w:rPr>
      <w:rFonts w:ascii="Verdana" w:hAnsi="Verdana" w:eastAsia="宋体" w:cs="Verdana"/>
      <w:sz w:val="24"/>
      <w:szCs w:val="24"/>
      <w:lang w:val="en-US" w:eastAsia="zh-CN" w:bidi="ar-SA"/>
    </w:rPr>
  </w:style>
  <w:style w:type="character" w:customStyle="1" w:styleId="46">
    <w:name w:val="纯文本 Char"/>
    <w:link w:val="9"/>
    <w:qFormat/>
    <w:uiPriority w:val="0"/>
    <w:rPr>
      <w:rFonts w:ascii="宋体" w:hAnsi="Courier New" w:eastAsia="宋体"/>
      <w:kern w:val="2"/>
      <w:sz w:val="21"/>
      <w:lang w:val="en-US" w:eastAsia="zh-CN" w:bidi="ar-SA"/>
    </w:rPr>
  </w:style>
  <w:style w:type="character" w:customStyle="1" w:styleId="47">
    <w:name w:val="正文文本缩进 Char"/>
    <w:basedOn w:val="23"/>
    <w:link w:val="6"/>
    <w:qFormat/>
    <w:uiPriority w:val="0"/>
    <w:rPr>
      <w:kern w:val="2"/>
      <w:sz w:val="21"/>
      <w:szCs w:val="24"/>
    </w:rPr>
  </w:style>
  <w:style w:type="paragraph" w:styleId="48">
    <w:name w:val="List Paragraph"/>
    <w:basedOn w:val="1"/>
    <w:unhideWhenUsed/>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43</Pages>
  <Words>3065</Words>
  <Characters>17476</Characters>
  <Lines>145</Lines>
  <Paragraphs>40</Paragraphs>
  <TotalTime>1</TotalTime>
  <ScaleCrop>false</ScaleCrop>
  <LinksUpToDate>false</LinksUpToDate>
  <CharactersWithSpaces>20501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2017-04-14T06:55:00Z</dcterms:created>
  <dc:creator>Administrator</dc:creator>
  <cp:lastModifiedBy>Administrator</cp:lastModifiedBy>
  <cp:lastPrinted>2019-07-01T02:56:00Z</cp:lastPrinted>
  <dcterms:modified xsi:type="dcterms:W3CDTF">2019-12-17T01:54:15Z</dcterms:modified>
  <dc:title>南通港闸经济开发区福民中心-文体中心健身器材采购项目</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