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pacing w:val="-17"/>
          <w:sz w:val="44"/>
          <w:szCs w:val="44"/>
          <w:lang w:eastAsia="zh-CN"/>
        </w:rPr>
      </w:pPr>
      <w:r>
        <w:rPr>
          <w:rFonts w:hint="eastAsia" w:asciiTheme="minorEastAsia" w:hAnsiTheme="minorEastAsia" w:eastAsiaTheme="minorEastAsia" w:cstheme="minorEastAsia"/>
          <w:spacing w:val="-17"/>
          <w:sz w:val="44"/>
          <w:szCs w:val="44"/>
          <w:lang w:eastAsia="zh-CN"/>
        </w:rPr>
        <w:t>江苏省南通市人民检察院四楼党组会议室信息化改造项目</w:t>
      </w:r>
    </w:p>
    <w:p>
      <w:pPr>
        <w:tabs>
          <w:tab w:val="left" w:pos="6300"/>
        </w:tabs>
        <w:snapToGrid w:val="0"/>
        <w:spacing w:line="300" w:lineRule="auto"/>
        <w:jc w:val="center"/>
        <w:rPr>
          <w:rFonts w:hint="eastAsia" w:asciiTheme="minorEastAsia" w:hAnsiTheme="minorEastAsia" w:eastAsiaTheme="minorEastAsia" w:cstheme="minorEastAsia"/>
          <w:w w:val="80"/>
          <w:sz w:val="84"/>
        </w:rPr>
      </w:pPr>
    </w:p>
    <w:p>
      <w:pPr>
        <w:spacing w:line="1400" w:lineRule="exact"/>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竞争性磋商文件</w:t>
      </w:r>
    </w:p>
    <w:p>
      <w:pPr>
        <w:spacing w:line="72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（资格后审）</w:t>
      </w:r>
    </w:p>
    <w:p>
      <w:pPr>
        <w:pStyle w:val="2"/>
        <w:ind w:left="0" w:leftChars="0" w:firstLine="0" w:firstLineChars="0"/>
        <w:rPr>
          <w:rFonts w:hint="eastAsia" w:asciiTheme="minorEastAsia" w:hAnsiTheme="minorEastAsia" w:eastAsiaTheme="minorEastAsia" w:cstheme="minorEastAsia"/>
        </w:rPr>
      </w:pPr>
    </w:p>
    <w:p>
      <w:pPr>
        <w:snapToGrid w:val="0"/>
        <w:spacing w:line="360" w:lineRule="auto"/>
        <w:rPr>
          <w:rFonts w:hint="eastAsia" w:asciiTheme="minorEastAsia" w:hAnsiTheme="minorEastAsia" w:eastAsiaTheme="minorEastAsia" w:cstheme="minorEastAsia"/>
          <w:b/>
          <w:sz w:val="36"/>
        </w:rPr>
      </w:pPr>
    </w:p>
    <w:p>
      <w:pPr>
        <w:snapToGrid w:val="0"/>
        <w:spacing w:line="360" w:lineRule="auto"/>
        <w:jc w:val="center"/>
        <w:rPr>
          <w:rFonts w:hint="eastAsia" w:asciiTheme="minorEastAsia" w:hAnsiTheme="minorEastAsia" w:eastAsiaTheme="minorEastAsia" w:cstheme="minorEastAsia"/>
          <w:b/>
          <w:sz w:val="36"/>
        </w:rPr>
      </w:pPr>
    </w:p>
    <w:p>
      <w:pPr>
        <w:snapToGrid w:val="0"/>
        <w:spacing w:line="360" w:lineRule="auto"/>
        <w:jc w:val="center"/>
        <w:rPr>
          <w:rFonts w:hint="eastAsia" w:asciiTheme="minorEastAsia" w:hAnsiTheme="minorEastAsia" w:eastAsiaTheme="minorEastAsia" w:cstheme="minorEastAsia"/>
          <w:b/>
          <w:sz w:val="36"/>
        </w:rPr>
      </w:pPr>
    </w:p>
    <w:p>
      <w:pPr>
        <w:adjustRightInd w:val="0"/>
        <w:snapToGrid w:val="0"/>
        <w:spacing w:line="360" w:lineRule="auto"/>
        <w:ind w:firstLine="1506" w:firstLineChars="5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采购单位：江苏省南通市人民检察院</w:t>
      </w:r>
    </w:p>
    <w:p>
      <w:pPr>
        <w:adjustRightInd w:val="0"/>
        <w:snapToGrid w:val="0"/>
        <w:spacing w:line="360" w:lineRule="auto"/>
        <w:ind w:firstLine="1506" w:firstLineChars="5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代理机构：南通正扬工程项目管理有限公司</w:t>
      </w:r>
    </w:p>
    <w:p>
      <w:pPr>
        <w:adjustRightInd w:val="0"/>
        <w:snapToGrid w:val="0"/>
        <w:spacing w:line="360" w:lineRule="auto"/>
        <w:jc w:val="center"/>
        <w:rPr>
          <w:rFonts w:hint="eastAsia" w:asciiTheme="minorEastAsia" w:hAnsiTheme="minorEastAsia" w:eastAsiaTheme="minorEastAsia" w:cstheme="minorEastAsia"/>
          <w:b/>
          <w:sz w:val="30"/>
          <w:szCs w:val="30"/>
        </w:rPr>
      </w:pPr>
    </w:p>
    <w:p>
      <w:pPr>
        <w:adjustRightInd w:val="0"/>
        <w:snapToGrid w:val="0"/>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二〇一九年十</w:t>
      </w:r>
      <w:r>
        <w:rPr>
          <w:rFonts w:hint="eastAsia" w:asciiTheme="minorEastAsia" w:hAnsiTheme="minorEastAsia" w:eastAsiaTheme="minorEastAsia" w:cstheme="minorEastAsia"/>
          <w:b/>
          <w:sz w:val="30"/>
          <w:szCs w:val="30"/>
          <w:lang w:eastAsia="zh-CN"/>
        </w:rPr>
        <w:t>二</w:t>
      </w:r>
      <w:r>
        <w:rPr>
          <w:rFonts w:hint="eastAsia" w:asciiTheme="minorEastAsia" w:hAnsiTheme="minorEastAsia" w:eastAsiaTheme="minorEastAsia" w:cstheme="minorEastAsia"/>
          <w:b/>
          <w:sz w:val="30"/>
          <w:szCs w:val="30"/>
        </w:rPr>
        <w:t>月</w:t>
      </w:r>
      <w:r>
        <w:rPr>
          <w:rFonts w:hint="eastAsia" w:asciiTheme="minorEastAsia" w:hAnsiTheme="minorEastAsia" w:eastAsiaTheme="minorEastAsia" w:cstheme="minorEastAsia"/>
          <w:b/>
          <w:sz w:val="30"/>
          <w:szCs w:val="30"/>
          <w:lang w:val="en-US" w:eastAsia="zh-CN"/>
        </w:rPr>
        <w:t>十三</w:t>
      </w:r>
      <w:r>
        <w:rPr>
          <w:rFonts w:hint="eastAsia" w:asciiTheme="minorEastAsia" w:hAnsiTheme="minorEastAsia" w:eastAsiaTheme="minorEastAsia" w:cstheme="minorEastAsia"/>
          <w:b/>
          <w:sz w:val="30"/>
          <w:szCs w:val="30"/>
        </w:rPr>
        <w:t>日</w:t>
      </w:r>
    </w:p>
    <w:p>
      <w:pP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竞争性磋商文件备案表</w:t>
      </w:r>
    </w:p>
    <w:p>
      <w:pPr>
        <w:jc w:val="center"/>
        <w:rPr>
          <w:rFonts w:hint="eastAsia" w:asciiTheme="minorEastAsia" w:hAnsiTheme="minorEastAsia" w:eastAsiaTheme="minorEastAsia" w:cstheme="minorEastAsia"/>
          <w:b/>
          <w:sz w:val="44"/>
          <w:szCs w:val="44"/>
        </w:rPr>
      </w:pP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p>
          <w:p>
            <w:pPr>
              <w:spacing w:line="360" w:lineRule="auto"/>
              <w:ind w:firstLine="3000" w:firstLineChars="1200"/>
              <w:rPr>
                <w:rFonts w:hint="eastAsia" w:asciiTheme="minorEastAsia" w:hAnsiTheme="minorEastAsia" w:eastAsiaTheme="minorEastAsia" w:cstheme="minorEastAsia"/>
                <w:position w:val="-48"/>
                <w:sz w:val="25"/>
                <w:lang w:val="en-US" w:eastAsia="zh-CN"/>
              </w:rPr>
            </w:pPr>
            <w:r>
              <w:rPr>
                <w:rFonts w:hint="eastAsia" w:asciiTheme="minorEastAsia" w:hAnsiTheme="minorEastAsia" w:eastAsiaTheme="minorEastAsia" w:cstheme="minorEastAsia"/>
                <w:position w:val="-48"/>
                <w:sz w:val="25"/>
              </w:rPr>
              <w:t>编制人：</w:t>
            </w:r>
            <w:r>
              <w:rPr>
                <w:rFonts w:hint="eastAsia" w:asciiTheme="minorEastAsia" w:hAnsiTheme="minorEastAsia" w:eastAsiaTheme="minorEastAsia" w:cstheme="minorEastAsia"/>
                <w:position w:val="-48"/>
                <w:sz w:val="25"/>
                <w:lang w:val="en-US" w:eastAsia="zh-CN"/>
              </w:rPr>
              <w:t>李艳梅</w:t>
            </w:r>
          </w:p>
          <w:p>
            <w:pPr>
              <w:tabs>
                <w:tab w:val="left" w:pos="3492"/>
              </w:tabs>
              <w:spacing w:line="360" w:lineRule="auto"/>
              <w:ind w:firstLine="3000" w:firstLineChars="1200"/>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日  期：2019年</w:t>
            </w:r>
            <w:r>
              <w:rPr>
                <w:rFonts w:hint="eastAsia" w:asciiTheme="minorEastAsia" w:hAnsiTheme="minorEastAsia" w:eastAsiaTheme="minorEastAsia" w:cstheme="minorEastAsia"/>
                <w:position w:val="-48"/>
                <w:sz w:val="25"/>
                <w:lang w:val="en-US" w:eastAsia="zh-CN"/>
              </w:rPr>
              <w:t>12</w:t>
            </w:r>
            <w:r>
              <w:rPr>
                <w:rFonts w:hint="eastAsia" w:asciiTheme="minorEastAsia" w:hAnsiTheme="minorEastAsia" w:eastAsiaTheme="minorEastAsia" w:cstheme="minorEastAsia"/>
                <w:position w:val="-48"/>
                <w:sz w:val="25"/>
              </w:rPr>
              <w:t>月</w:t>
            </w:r>
            <w:r>
              <w:rPr>
                <w:rFonts w:hint="eastAsia" w:asciiTheme="minorEastAsia" w:hAnsiTheme="minorEastAsia" w:eastAsiaTheme="minorEastAsia" w:cstheme="minorEastAsia"/>
                <w:position w:val="-48"/>
                <w:sz w:val="25"/>
                <w:lang w:val="en-US" w:eastAsia="zh-CN"/>
              </w:rPr>
              <w:t>13</w:t>
            </w:r>
            <w:r>
              <w:rPr>
                <w:rFonts w:hint="eastAsia" w:asciiTheme="minorEastAsia" w:hAnsiTheme="minorEastAsia" w:eastAsiaTheme="minorEastAsia" w:cstheme="minorEastAsia"/>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p>
          <w:p>
            <w:pPr>
              <w:spacing w:line="360" w:lineRule="auto"/>
              <w:ind w:firstLine="625" w:firstLineChars="250"/>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采购单位（盖章）             法定代表人（签字或盖章）</w:t>
            </w:r>
          </w:p>
          <w:p>
            <w:pPr>
              <w:spacing w:line="360" w:lineRule="auto"/>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 xml:space="preserve">   代理机构（盖章）            法定代表人（签字或盖章）</w:t>
            </w:r>
          </w:p>
          <w:p>
            <w:pPr>
              <w:spacing w:line="360" w:lineRule="auto"/>
              <w:rPr>
                <w:rFonts w:hint="eastAsia" w:asciiTheme="minorEastAsia" w:hAnsiTheme="minorEastAsia" w:eastAsiaTheme="minorEastAsia" w:cstheme="minorEastAsia"/>
                <w:position w:val="-48"/>
                <w:sz w:val="25"/>
              </w:rPr>
            </w:pPr>
          </w:p>
          <w:p>
            <w:pPr>
              <w:spacing w:line="360" w:lineRule="auto"/>
              <w:jc w:val="center"/>
              <w:rPr>
                <w:rFonts w:hint="eastAsia" w:asciiTheme="minorEastAsia" w:hAnsiTheme="minorEastAsia" w:eastAsiaTheme="minorEastAsia" w:cstheme="minorEastAsia"/>
                <w:position w:val="-48"/>
                <w:sz w:val="25"/>
              </w:rPr>
            </w:pPr>
            <w:r>
              <w:rPr>
                <w:rFonts w:hint="eastAsia" w:asciiTheme="minorEastAsia" w:hAnsiTheme="minorEastAsia" w:eastAsiaTheme="minorEastAsia" w:cstheme="minorEastAsia"/>
                <w:position w:val="-48"/>
                <w:sz w:val="25"/>
              </w:rPr>
              <w:t>日  期：2019年</w:t>
            </w:r>
            <w:r>
              <w:rPr>
                <w:rFonts w:hint="eastAsia" w:asciiTheme="minorEastAsia" w:hAnsiTheme="minorEastAsia" w:eastAsiaTheme="minorEastAsia" w:cstheme="minorEastAsia"/>
                <w:position w:val="-48"/>
                <w:sz w:val="25"/>
                <w:lang w:val="en-US" w:eastAsia="zh-CN"/>
              </w:rPr>
              <w:t>12</w:t>
            </w:r>
            <w:r>
              <w:rPr>
                <w:rFonts w:hint="eastAsia" w:asciiTheme="minorEastAsia" w:hAnsiTheme="minorEastAsia" w:eastAsiaTheme="minorEastAsia" w:cstheme="minorEastAsia"/>
                <w:position w:val="-48"/>
                <w:sz w:val="25"/>
              </w:rPr>
              <w:t>月</w:t>
            </w:r>
            <w:r>
              <w:rPr>
                <w:rFonts w:hint="eastAsia" w:asciiTheme="minorEastAsia" w:hAnsiTheme="minorEastAsia" w:eastAsiaTheme="minorEastAsia" w:cstheme="minorEastAsia"/>
                <w:position w:val="-48"/>
                <w:sz w:val="25"/>
                <w:lang w:val="en-US" w:eastAsia="zh-CN"/>
              </w:rPr>
              <w:t>13</w:t>
            </w:r>
            <w:r>
              <w:rPr>
                <w:rFonts w:hint="eastAsia" w:asciiTheme="minorEastAsia" w:hAnsiTheme="minorEastAsia" w:eastAsiaTheme="minorEastAsia" w:cstheme="minorEastAsia"/>
                <w:position w:val="-48"/>
                <w:sz w:val="25"/>
              </w:rPr>
              <w:t>日</w:t>
            </w:r>
          </w:p>
        </w:tc>
      </w:tr>
    </w:tbl>
    <w:p>
      <w:pPr>
        <w:pStyle w:val="2"/>
        <w:rPr>
          <w:rFonts w:hint="eastAsia" w:asciiTheme="minorEastAsia" w:hAnsiTheme="minorEastAsia" w:eastAsiaTheme="minorEastAsia" w:cstheme="minorEastAsia"/>
        </w:rPr>
        <w:sectPr>
          <w:footerReference r:id="rId3" w:type="first"/>
          <w:pgSz w:w="11906" w:h="16838"/>
          <w:pgMar w:top="1418" w:right="1418" w:bottom="646" w:left="1418" w:header="851" w:footer="992" w:gutter="0"/>
          <w:cols w:space="720" w:num="1"/>
          <w:docGrid w:linePitch="312" w:charSpace="0"/>
        </w:sectPr>
      </w:pPr>
    </w:p>
    <w:p>
      <w:pPr>
        <w:pStyle w:val="9"/>
        <w:overflowPunct w:val="0"/>
        <w:ind w:firstLine="0"/>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pStyle w:val="9"/>
        <w:overflowPunct w:val="0"/>
        <w:ind w:firstLine="0"/>
        <w:jc w:val="center"/>
        <w:rPr>
          <w:rFonts w:hint="eastAsia" w:asciiTheme="minorEastAsia" w:hAnsiTheme="minorEastAsia" w:eastAsiaTheme="minorEastAsia" w:cstheme="minorEastAsia"/>
          <w:sz w:val="30"/>
        </w:rPr>
      </w:pPr>
    </w:p>
    <w:p>
      <w:pPr>
        <w:pStyle w:val="18"/>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6"/>
          <w:szCs w:val="36"/>
        </w:rPr>
        <w:fldChar w:fldCharType="begin"/>
      </w:r>
      <w:r>
        <w:rPr>
          <w:rFonts w:hint="eastAsia" w:asciiTheme="minorEastAsia" w:hAnsiTheme="minorEastAsia" w:eastAsiaTheme="minorEastAsia" w:cstheme="minorEastAsia"/>
          <w:b/>
          <w:bCs/>
          <w:sz w:val="36"/>
          <w:szCs w:val="36"/>
        </w:rPr>
        <w:instrText xml:space="preserve"> TOC \o "1-1"</w:instrText>
      </w:r>
      <w:r>
        <w:rPr>
          <w:rFonts w:hint="eastAsia" w:asciiTheme="minorEastAsia" w:hAnsiTheme="minorEastAsia" w:eastAsiaTheme="minorEastAsia" w:cstheme="minorEastAsia"/>
          <w:b/>
          <w:bCs/>
          <w:sz w:val="36"/>
          <w:szCs w:val="36"/>
        </w:rPr>
        <w:fldChar w:fldCharType="separate"/>
      </w:r>
      <w:r>
        <w:rPr>
          <w:rFonts w:hint="eastAsia" w:asciiTheme="minorEastAsia" w:hAnsiTheme="minorEastAsia" w:eastAsiaTheme="minorEastAsia" w:cstheme="minorEastAsia"/>
          <w:sz w:val="32"/>
          <w:szCs w:val="32"/>
        </w:rPr>
        <w:t>第一章 竞争性磋商公告</w:t>
      </w:r>
    </w:p>
    <w:p>
      <w:pPr>
        <w:pStyle w:val="18"/>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第二章 投标供应商须知</w:t>
      </w:r>
    </w:p>
    <w:p>
      <w:pPr>
        <w:pStyle w:val="18"/>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项目需求</w:t>
      </w:r>
    </w:p>
    <w:p>
      <w:pPr>
        <w:pStyle w:val="18"/>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评审方法和程序</w:t>
      </w:r>
    </w:p>
    <w:p>
      <w:pPr>
        <w:pStyle w:val="18"/>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第五章 合同主要条款</w:t>
      </w:r>
    </w:p>
    <w:p>
      <w:pPr>
        <w:pStyle w:val="18"/>
        <w:tabs>
          <w:tab w:val="right" w:leader="dot" w:pos="9528"/>
        </w:tabs>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第六章合同授予</w:t>
      </w:r>
    </w:p>
    <w:p>
      <w:pPr>
        <w:spacing w:line="12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第七章 质疑提出和处理</w:t>
      </w:r>
    </w:p>
    <w:p>
      <w:pPr>
        <w:spacing w:line="1200" w:lineRule="exact"/>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2"/>
          <w:szCs w:val="32"/>
        </w:rPr>
        <w:t>第八章 响应文件组成及格式</w:t>
      </w: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fldChar w:fldCharType="end"/>
      </w: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rPr>
          <w:rFonts w:hint="eastAsia" w:asciiTheme="minorEastAsia" w:hAnsiTheme="minorEastAsia" w:eastAsiaTheme="minorEastAsia" w:cstheme="minorEastAsia"/>
          <w:b/>
          <w:bCs/>
          <w:sz w:val="36"/>
          <w:szCs w:val="36"/>
        </w:rPr>
      </w:pPr>
    </w:p>
    <w:p>
      <w:pPr>
        <w:snapToGrid w:val="0"/>
        <w:spacing w:line="360" w:lineRule="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b/>
          <w:szCs w:val="21"/>
        </w:rPr>
        <w:t>尊敬的投标供应商：</w:t>
      </w:r>
    </w:p>
    <w:p>
      <w:pPr>
        <w:pStyle w:val="5"/>
        <w:keepNext w:val="0"/>
        <w:keepLines w:val="0"/>
        <w:adjustRightInd w:val="0"/>
        <w:snapToGrid w:val="0"/>
        <w:spacing w:before="0" w:after="0" w:line="360" w:lineRule="auto"/>
        <w:ind w:firstLine="422" w:firstLineChars="200"/>
        <w:jc w:val="left"/>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5"/>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t>第一章  竞争性磋商公告</w:t>
      </w:r>
    </w:p>
    <w:p>
      <w:pPr>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南通正扬工程项目管理有限公司（以下简称代理机构）受江苏省南通市人民检察院（以下简称采购单位）的委托，对</w:t>
      </w:r>
      <w:r>
        <w:rPr>
          <w:rFonts w:hint="eastAsia" w:asciiTheme="minorEastAsia" w:hAnsiTheme="minorEastAsia" w:eastAsiaTheme="minorEastAsia" w:cstheme="minorEastAsia"/>
          <w:sz w:val="24"/>
          <w:szCs w:val="24"/>
          <w:lang w:eastAsia="zh-CN"/>
        </w:rPr>
        <w:t>江苏省南通市人民检察院四楼党组会议室信息化改造项目</w:t>
      </w:r>
      <w:r>
        <w:rPr>
          <w:rFonts w:hint="eastAsia" w:asciiTheme="minorEastAsia" w:hAnsiTheme="minorEastAsia" w:eastAsiaTheme="minorEastAsia" w:cstheme="minorEastAsia"/>
          <w:sz w:val="24"/>
          <w:szCs w:val="24"/>
        </w:rPr>
        <w:t>组织竞争性磋商采购，诚邀符合条件的潜在供应商参加该项目的竞争性磋商。</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江苏省南通市人民检察院四楼党组会议室信息化改造项目</w:t>
      </w:r>
    </w:p>
    <w:p>
      <w:pPr>
        <w:numPr>
          <w:ilvl w:val="0"/>
          <w:numId w:val="1"/>
        </w:numPr>
        <w:spacing w:line="360" w:lineRule="auto"/>
        <w:ind w:firstLine="480" w:firstLineChars="200"/>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项目预算：</w:t>
      </w:r>
      <w:r>
        <w:rPr>
          <w:rFonts w:hint="eastAsia" w:asciiTheme="minorEastAsia" w:hAnsiTheme="minorEastAsia" w:eastAsiaTheme="minorEastAsia" w:cstheme="minorEastAsia"/>
          <w:sz w:val="24"/>
          <w:szCs w:val="24"/>
          <w:highlight w:val="none"/>
          <w:lang w:val="en-US" w:eastAsia="zh-CN"/>
        </w:rPr>
        <w:t>19.8</w:t>
      </w:r>
      <w:r>
        <w:rPr>
          <w:rFonts w:hint="eastAsia" w:asciiTheme="minorEastAsia" w:hAnsiTheme="minorEastAsia" w:eastAsiaTheme="minorEastAsia" w:cstheme="minorEastAsia"/>
          <w:sz w:val="24"/>
          <w:szCs w:val="24"/>
          <w:highlight w:val="none"/>
        </w:rPr>
        <w:t>万元</w:t>
      </w:r>
      <w:r>
        <w:rPr>
          <w:rFonts w:hint="eastAsia" w:asciiTheme="minorEastAsia" w:hAnsiTheme="minorEastAsia" w:eastAsiaTheme="minorEastAsia" w:cstheme="minorEastAsia"/>
          <w:sz w:val="24"/>
          <w:szCs w:val="24"/>
          <w:highlight w:val="none"/>
          <w:lang w:val="en-US" w:eastAsia="zh-CN"/>
        </w:rPr>
        <w:t xml:space="preserve"> </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项目需求：详见第三章</w:t>
      </w:r>
    </w:p>
    <w:p>
      <w:pPr>
        <w:numPr>
          <w:ilvl w:val="0"/>
          <w:numId w:val="1"/>
        </w:num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供应商资格要求 </w:t>
      </w:r>
    </w:p>
    <w:p>
      <w:pPr>
        <w:widowControl/>
        <w:snapToGrid w:val="0"/>
        <w:spacing w:line="360" w:lineRule="auto"/>
        <w:ind w:firstLine="470" w:firstLineChars="196"/>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snapToGrid w:val="0"/>
        <w:spacing w:line="360" w:lineRule="auto"/>
        <w:ind w:firstLine="470" w:firstLineChars="196"/>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2、法定代表人为同一个人的两个及两个以上法人，母公司、全资子公司及其控股公司，都不得在同一采购项目相同标段中同时参加投标，一经发现，将视同围标处理。</w:t>
      </w:r>
    </w:p>
    <w:p>
      <w:pPr>
        <w:widowControl/>
        <w:snapToGrid w:val="0"/>
        <w:spacing w:line="360" w:lineRule="auto"/>
        <w:ind w:firstLine="472" w:firstLineChars="196"/>
        <w:jc w:val="lef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供应商其它资格要求：</w:t>
      </w:r>
    </w:p>
    <w:p>
      <w:pPr>
        <w:widowControl/>
        <w:numPr>
          <w:ilvl w:val="0"/>
          <w:numId w:val="2"/>
        </w:numPr>
        <w:snapToGri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投标供应商必须具有独立的法人资格，提供有效的营业执照及税务登记证（或者是三证合一的营业执照），营业执照具有相关经营范围，有能力提供本次采购项目所要求的服务。</w:t>
      </w:r>
    </w:p>
    <w:p>
      <w:pPr>
        <w:widowControl/>
        <w:snapToGrid w:val="0"/>
        <w:spacing w:line="360" w:lineRule="auto"/>
        <w:ind w:firstLine="480" w:firstLineChars="200"/>
        <w:jc w:val="left"/>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sz w:val="24"/>
          <w:szCs w:val="24"/>
        </w:rPr>
        <w:t>4、投标供应商法定</w:t>
      </w:r>
      <w:r>
        <w:rPr>
          <w:rFonts w:hint="eastAsia" w:asciiTheme="minorEastAsia" w:hAnsiTheme="minorEastAsia" w:eastAsiaTheme="minorEastAsia" w:cstheme="minorEastAsia"/>
          <w:color w:val="000000"/>
          <w:sz w:val="24"/>
          <w:szCs w:val="22"/>
        </w:rPr>
        <w:t>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w:t>
      </w:r>
      <w:bookmarkStart w:id="16" w:name="_GoBack"/>
      <w:bookmarkEnd w:id="16"/>
      <w:r>
        <w:rPr>
          <w:rFonts w:hint="eastAsia" w:asciiTheme="minorEastAsia" w:hAnsiTheme="minorEastAsia" w:eastAsiaTheme="minorEastAsia" w:cstheme="minorEastAsia"/>
          <w:color w:val="000000"/>
          <w:sz w:val="24"/>
          <w:szCs w:val="22"/>
        </w:rPr>
        <w:t>201</w:t>
      </w:r>
      <w:r>
        <w:rPr>
          <w:rFonts w:hint="eastAsia" w:asciiTheme="minorEastAsia" w:hAnsiTheme="minorEastAsia" w:eastAsiaTheme="minorEastAsia" w:cstheme="minorEastAsia"/>
          <w:color w:val="000000"/>
          <w:sz w:val="24"/>
          <w:szCs w:val="22"/>
          <w:lang w:val="en-US" w:eastAsia="zh-CN"/>
        </w:rPr>
        <w:t>9</w:t>
      </w:r>
      <w:r>
        <w:rPr>
          <w:rFonts w:hint="eastAsia" w:asciiTheme="minorEastAsia" w:hAnsiTheme="minorEastAsia" w:eastAsiaTheme="minorEastAsia" w:cstheme="minorEastAsia"/>
          <w:color w:val="000000"/>
          <w:sz w:val="24"/>
          <w:szCs w:val="22"/>
        </w:rPr>
        <w:t>年</w:t>
      </w: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月-2019年</w:t>
      </w:r>
      <w:r>
        <w:rPr>
          <w:rFonts w:hint="eastAsia" w:asciiTheme="minorEastAsia" w:hAnsiTheme="minorEastAsia" w:eastAsiaTheme="minorEastAsia" w:cstheme="minorEastAsia"/>
          <w:color w:val="000000"/>
          <w:sz w:val="24"/>
          <w:szCs w:val="22"/>
          <w:lang w:val="en-US" w:eastAsia="zh-CN"/>
        </w:rPr>
        <w:t>10</w:t>
      </w:r>
      <w:r>
        <w:rPr>
          <w:rFonts w:hint="eastAsia" w:asciiTheme="minorEastAsia" w:hAnsiTheme="minorEastAsia" w:eastAsiaTheme="minorEastAsia" w:cstheme="minorEastAsia"/>
          <w:color w:val="000000"/>
          <w:sz w:val="24"/>
          <w:szCs w:val="22"/>
        </w:rPr>
        <w:t>月连续六个月的养老保险缴费清单复印件】。</w:t>
      </w:r>
    </w:p>
    <w:p>
      <w:pPr>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rPr>
        <w:t>5、投标供应商须提供参与本次项目政府采购活动前三年内，在经营活动中没有重大违法记录的书面《无重大违法记录声明函》（格式参见第八章）。</w:t>
      </w:r>
    </w:p>
    <w:p>
      <w:pPr>
        <w:pStyle w:val="2"/>
        <w:ind w:left="0" w:leftChars="0" w:firstLine="0" w:firstLineChars="0"/>
        <w:rPr>
          <w:rFonts w:hint="eastAsia"/>
        </w:rPr>
      </w:pPr>
      <w:r>
        <w:rPr>
          <w:rFonts w:hint="eastAsia" w:asciiTheme="minorEastAsia" w:hAnsiTheme="minorEastAsia" w:eastAsiaTheme="minorEastAsia" w:cstheme="minorEastAsia"/>
          <w:color w:val="000000"/>
          <w:sz w:val="24"/>
          <w:szCs w:val="22"/>
          <w:lang w:val="en-US" w:eastAsia="zh-CN"/>
        </w:rPr>
        <w:t xml:space="preserve">    6、</w:t>
      </w:r>
      <w:r>
        <w:rPr>
          <w:rFonts w:hint="eastAsia" w:asciiTheme="minorEastAsia" w:hAnsiTheme="minorEastAsia" w:eastAsiaTheme="minorEastAsia" w:cstheme="minorEastAsia"/>
          <w:color w:val="000000"/>
          <w:sz w:val="24"/>
          <w:szCs w:val="22"/>
        </w:rPr>
        <w:t>关于资格文件的声明函（格式参见第八章）</w:t>
      </w:r>
    </w:p>
    <w:p>
      <w:pPr>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7</w:t>
      </w:r>
      <w:r>
        <w:rPr>
          <w:rFonts w:hint="eastAsia" w:asciiTheme="minorEastAsia" w:hAnsiTheme="minorEastAsia" w:eastAsiaTheme="minorEastAsia" w:cstheme="minorEastAsia"/>
          <w:color w:val="000000"/>
          <w:sz w:val="24"/>
          <w:szCs w:val="22"/>
        </w:rPr>
        <w:t>、本项目不接受联合体投标。</w:t>
      </w:r>
    </w:p>
    <w:p>
      <w:pPr>
        <w:widowControl/>
        <w:snapToGrid w:val="0"/>
        <w:spacing w:line="360" w:lineRule="auto"/>
        <w:ind w:left="412" w:leftChars="196"/>
        <w:jc w:val="left"/>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具体资格要求详见第八章中的“资格审查文件”。</w:t>
      </w:r>
    </w:p>
    <w:p>
      <w:pPr>
        <w:snapToGrid w:val="0"/>
        <w:spacing w:line="480" w:lineRule="exact"/>
        <w:ind w:firstLine="482" w:firstLineChars="200"/>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请供应商认真对照资格要求，如不符合要求，无意或故意参与投标的，所产生的一切后果由供应商承担。对提供虚假材料的响应供应商作无效标处理，磋商保证金不予退还，并报财政部门后将其列入政府采购黑名单。</w:t>
      </w:r>
    </w:p>
    <w:p>
      <w:pPr>
        <w:snapToGrid w:val="0"/>
        <w:spacing w:line="420" w:lineRule="exact"/>
        <w:ind w:firstLine="491" w:firstLineChars="205"/>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pPr>
        <w:widowControl/>
        <w:spacing w:line="600" w:lineRule="exact"/>
        <w:ind w:left="1"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五、响应文件接收截止及评审磋商开始时间：</w:t>
      </w:r>
      <w:r>
        <w:rPr>
          <w:rFonts w:hint="eastAsia" w:asciiTheme="minorEastAsia" w:hAnsiTheme="minorEastAsia" w:eastAsiaTheme="minorEastAsia" w:cstheme="minorEastAsia"/>
          <w:b/>
          <w:bCs/>
          <w:sz w:val="24"/>
          <w:szCs w:val="24"/>
        </w:rPr>
        <w:t>2019年</w:t>
      </w: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月</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rPr>
        <w:t>日</w:t>
      </w:r>
      <w:r>
        <w:rPr>
          <w:rFonts w:hint="eastAsia" w:asciiTheme="minorEastAsia" w:hAnsiTheme="minorEastAsia" w:eastAsiaTheme="minorEastAsia" w:cstheme="minorEastAsia"/>
          <w:b/>
          <w:bCs/>
          <w:sz w:val="24"/>
          <w:szCs w:val="24"/>
          <w:lang w:val="en-US" w:eastAsia="zh-CN"/>
        </w:rPr>
        <w:t>09</w:t>
      </w:r>
      <w:r>
        <w:rPr>
          <w:rFonts w:hint="eastAsia" w:asciiTheme="minorEastAsia" w:hAnsiTheme="minorEastAsia" w:eastAsiaTheme="minorEastAsia" w:cstheme="minorEastAsia"/>
          <w:b/>
          <w:bCs/>
          <w:sz w:val="24"/>
          <w:szCs w:val="24"/>
        </w:rPr>
        <w:t>时</w:t>
      </w:r>
      <w:r>
        <w:rPr>
          <w:rFonts w:hint="eastAsia" w:asciiTheme="minorEastAsia" w:hAnsiTheme="minorEastAsia" w:eastAsiaTheme="minorEastAsia" w:cstheme="minorEastAsia"/>
          <w:b/>
          <w:bCs/>
          <w:sz w:val="24"/>
          <w:szCs w:val="24"/>
          <w:lang w:val="en-US" w:eastAsia="zh-CN"/>
        </w:rPr>
        <w:t>00</w:t>
      </w:r>
      <w:r>
        <w:rPr>
          <w:rFonts w:hint="eastAsia" w:asciiTheme="minorEastAsia" w:hAnsiTheme="minorEastAsia" w:eastAsiaTheme="minorEastAsia" w:cstheme="minorEastAsia"/>
          <w:b/>
          <w:bCs/>
          <w:sz w:val="24"/>
          <w:szCs w:val="24"/>
        </w:rPr>
        <w:t>分</w:t>
      </w:r>
      <w:r>
        <w:rPr>
          <w:rFonts w:hint="eastAsia" w:asciiTheme="minorEastAsia" w:hAnsiTheme="minorEastAsia" w:eastAsiaTheme="minorEastAsia" w:cstheme="minorEastAsia"/>
          <w:sz w:val="24"/>
          <w:szCs w:val="24"/>
        </w:rPr>
        <w:t>。</w:t>
      </w:r>
    </w:p>
    <w:p>
      <w:pPr>
        <w:widowControl/>
        <w:spacing w:line="600" w:lineRule="exact"/>
        <w:ind w:left="1"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六、响应文件递交地址：南通市濠南路251号江苏省南通市人民检察院主楼五楼会议室，如有变动另行通知。</w:t>
      </w:r>
    </w:p>
    <w:p>
      <w:pPr>
        <w:autoSpaceDE w:val="0"/>
        <w:autoSpaceDN w:val="0"/>
        <w:adjustRightInd w:val="0"/>
        <w:spacing w:line="500" w:lineRule="exact"/>
        <w:ind w:firstLine="482" w:firstLineChars="200"/>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投标供应商递交投标响应文件时，投标供应商的法定代表人（或其授权代理人）必须携带本人身份证、法定代表人身份证明（或授权委托书）原件准时参加开标会议。否则，其投标响应文件不予受理。</w:t>
      </w:r>
      <w:r>
        <w:rPr>
          <w:rFonts w:hint="eastAsia" w:asciiTheme="minorEastAsia" w:hAnsiTheme="minorEastAsia" w:eastAsiaTheme="minorEastAsia" w:cstheme="minorEastAsia"/>
          <w:b/>
          <w:bCs/>
          <w:sz w:val="24"/>
          <w:szCs w:val="24"/>
        </w:rPr>
        <w:t>注：法定代表人身份证明（或授权委托书）一式二份，一份装订在资格审查文件中，另一份在投标时随身携带。</w:t>
      </w:r>
    </w:p>
    <w:p>
      <w:pPr>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七、磋商保证金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供应商需缴纳磋商保证金</w:t>
      </w:r>
      <w:r>
        <w:rPr>
          <w:rFonts w:hint="eastAsia" w:asciiTheme="minorEastAsia" w:hAnsiTheme="minorEastAsia" w:eastAsiaTheme="minorEastAsia" w:cstheme="minorEastAsia"/>
          <w:sz w:val="24"/>
          <w:szCs w:val="24"/>
          <w:u w:val="single"/>
          <w:lang w:eastAsia="zh-CN"/>
        </w:rPr>
        <w:t>叁</w:t>
      </w:r>
      <w:r>
        <w:rPr>
          <w:rFonts w:hint="eastAsia" w:asciiTheme="minorEastAsia" w:hAnsiTheme="minorEastAsia" w:eastAsiaTheme="minorEastAsia" w:cstheme="minorEastAsia"/>
          <w:sz w:val="24"/>
          <w:szCs w:val="24"/>
          <w:u w:val="single"/>
        </w:rPr>
        <w:t>仟元整（</w:t>
      </w:r>
      <w:r>
        <w:rPr>
          <w:rFonts w:hint="eastAsia" w:asciiTheme="minorEastAsia" w:hAnsiTheme="minorEastAsia" w:eastAsiaTheme="minorEastAsia" w:cstheme="minorEastAsia"/>
          <w:sz w:val="24"/>
          <w:szCs w:val="24"/>
          <w:u w:val="single"/>
          <w:lang w:val="en-US" w:eastAsia="zh-CN"/>
        </w:rPr>
        <w:t>3</w:t>
      </w:r>
      <w:r>
        <w:rPr>
          <w:rFonts w:hint="eastAsia" w:asciiTheme="minorEastAsia" w:hAnsiTheme="minorEastAsia" w:eastAsiaTheme="minorEastAsia" w:cstheme="minorEastAsia"/>
          <w:sz w:val="24"/>
          <w:szCs w:val="24"/>
          <w:u w:val="single"/>
        </w:rPr>
        <w:t>000元）</w:t>
      </w:r>
      <w:r>
        <w:rPr>
          <w:rFonts w:hint="eastAsia" w:asciiTheme="minorEastAsia" w:hAnsiTheme="minorEastAsia" w:eastAsiaTheme="minorEastAsia" w:cstheme="minorEastAsia"/>
          <w:sz w:val="24"/>
          <w:szCs w:val="24"/>
        </w:rPr>
        <w:t>。磋商保证金一律采用</w:t>
      </w:r>
      <w:r>
        <w:rPr>
          <w:rFonts w:hint="eastAsia" w:asciiTheme="minorEastAsia" w:hAnsiTheme="minorEastAsia" w:eastAsiaTheme="minorEastAsia" w:cstheme="minorEastAsia"/>
          <w:b/>
          <w:sz w:val="24"/>
          <w:szCs w:val="24"/>
          <w:u w:val="single"/>
        </w:rPr>
        <w:t>银行汇票、现金支票或转账支票</w:t>
      </w:r>
      <w:r>
        <w:rPr>
          <w:rFonts w:hint="eastAsia" w:asciiTheme="minorEastAsia" w:hAnsiTheme="minorEastAsia" w:eastAsiaTheme="minorEastAsia" w:cstheme="minorEastAsia"/>
          <w:sz w:val="24"/>
          <w:szCs w:val="24"/>
        </w:rPr>
        <w:t>形式递交，拒绝其他方式递交</w:t>
      </w:r>
      <w:r>
        <w:rPr>
          <w:rFonts w:hint="eastAsia" w:asciiTheme="minorEastAsia" w:hAnsiTheme="minorEastAsia" w:eastAsiaTheme="minorEastAsia" w:cstheme="minorEastAsia"/>
          <w:b/>
          <w:bCs/>
          <w:color w:val="FF0000"/>
          <w:sz w:val="24"/>
          <w:szCs w:val="24"/>
          <w:u w:val="double"/>
        </w:rPr>
        <w:t>（请勿直接转账到采购人账户）</w:t>
      </w:r>
      <w:r>
        <w:rPr>
          <w:rFonts w:hint="eastAsia" w:asciiTheme="minorEastAsia" w:hAnsiTheme="minorEastAsia" w:eastAsiaTheme="minorEastAsia" w:cstheme="minorEastAsia"/>
          <w:sz w:val="24"/>
          <w:szCs w:val="24"/>
        </w:rPr>
        <w:t>，并在汇票或支票上注明“</w:t>
      </w:r>
      <w:r>
        <w:rPr>
          <w:rFonts w:hint="eastAsia" w:asciiTheme="minorEastAsia" w:hAnsiTheme="minorEastAsia" w:eastAsiaTheme="minorEastAsia" w:cstheme="minorEastAsia"/>
          <w:b/>
          <w:bCs/>
          <w:sz w:val="24"/>
          <w:szCs w:val="24"/>
          <w:u w:val="single"/>
        </w:rPr>
        <w:t>检察院磋商保证金</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银行汇票、现金支票或转账支票</w:t>
      </w:r>
      <w:r>
        <w:rPr>
          <w:rFonts w:hint="eastAsia" w:asciiTheme="minorEastAsia" w:hAnsiTheme="minorEastAsia" w:eastAsiaTheme="minorEastAsia" w:cstheme="minorEastAsia"/>
          <w:sz w:val="24"/>
          <w:szCs w:val="24"/>
        </w:rPr>
        <w:t xml:space="preserve">带至开标现场在递交磋商响应文件时交给采购单位。 </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保证金上必须注明收款人为：</w:t>
      </w:r>
      <w:r>
        <w:rPr>
          <w:rStyle w:val="23"/>
          <w:rFonts w:hint="eastAsia" w:asciiTheme="minorEastAsia" w:hAnsiTheme="minorEastAsia" w:eastAsiaTheme="minorEastAsia" w:cstheme="minorEastAsia"/>
          <w:sz w:val="24"/>
          <w:szCs w:val="24"/>
        </w:rPr>
        <w:t>南通市财政局</w:t>
      </w:r>
      <w:r>
        <w:rPr>
          <w:rFonts w:hint="eastAsia" w:asciiTheme="minorEastAsia" w:hAnsiTheme="minorEastAsia" w:eastAsiaTheme="minorEastAsia" w:cstheme="minorEastAsia"/>
          <w:b/>
          <w:bCs/>
          <w:sz w:val="24"/>
          <w:szCs w:val="24"/>
        </w:rPr>
        <w:t>，用途为：</w:t>
      </w:r>
      <w:r>
        <w:rPr>
          <w:rFonts w:hint="eastAsia" w:asciiTheme="minorEastAsia" w:hAnsiTheme="minorEastAsia" w:eastAsiaTheme="minorEastAsia" w:cstheme="minorEastAsia"/>
          <w:b/>
          <w:bCs/>
          <w:sz w:val="24"/>
          <w:szCs w:val="24"/>
          <w:u w:val="single"/>
        </w:rPr>
        <w:t>检察院磋商保证金</w:t>
      </w:r>
      <w:r>
        <w:rPr>
          <w:rFonts w:hint="eastAsia" w:asciiTheme="minorEastAsia" w:hAnsiTheme="minorEastAsia" w:eastAsiaTheme="minorEastAsia" w:cstheme="minorEastAsia"/>
          <w:b/>
          <w:bCs/>
          <w:sz w:val="24"/>
          <w:szCs w:val="24"/>
        </w:rPr>
        <w:t>；汇款人为：</w:t>
      </w:r>
      <w:r>
        <w:rPr>
          <w:rFonts w:hint="eastAsia" w:asciiTheme="minorEastAsia" w:hAnsiTheme="minorEastAsia" w:eastAsiaTheme="minorEastAsia" w:cstheme="minorEastAsia"/>
          <w:b/>
          <w:bCs/>
          <w:sz w:val="24"/>
          <w:szCs w:val="24"/>
          <w:u w:val="single"/>
        </w:rPr>
        <w:t>供应商名称</w:t>
      </w:r>
      <w:r>
        <w:rPr>
          <w:rFonts w:hint="eastAsia" w:asciiTheme="minorEastAsia" w:hAnsiTheme="minorEastAsia" w:eastAsiaTheme="minorEastAsia" w:cstheme="minorEastAsia"/>
          <w:b/>
          <w:bCs/>
          <w:sz w:val="24"/>
          <w:szCs w:val="24"/>
        </w:rPr>
        <w:t>。</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z w:val="24"/>
          <w:szCs w:val="24"/>
        </w:rPr>
        <w:t xml:space="preserve">账  户： </w:t>
      </w:r>
      <w:r>
        <w:rPr>
          <w:rFonts w:hint="eastAsia" w:asciiTheme="minorEastAsia" w:hAnsiTheme="minorEastAsia" w:eastAsiaTheme="minorEastAsia" w:cstheme="minorEastAsia"/>
          <w:kern w:val="0"/>
          <w:sz w:val="24"/>
          <w:szCs w:val="24"/>
        </w:rPr>
        <w:t>南通市财政局</w:t>
      </w:r>
    </w:p>
    <w:p>
      <w:pPr>
        <w:widowControl/>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开户行： </w:t>
      </w:r>
      <w:r>
        <w:rPr>
          <w:rFonts w:hint="eastAsia" w:asciiTheme="minorEastAsia" w:hAnsiTheme="minorEastAsia" w:eastAsiaTheme="minorEastAsia" w:cstheme="minorEastAsia"/>
          <w:kern w:val="0"/>
          <w:sz w:val="24"/>
          <w:szCs w:val="24"/>
        </w:rPr>
        <w:t>中行西被闸支行</w:t>
      </w:r>
    </w:p>
    <w:p>
      <w:pPr>
        <w:spacing w:line="480" w:lineRule="exact"/>
        <w:ind w:left="479" w:leftChars="228"/>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Cs/>
          <w:sz w:val="24"/>
          <w:szCs w:val="24"/>
        </w:rPr>
        <w:t xml:space="preserve">开户账号: </w:t>
      </w:r>
      <w:r>
        <w:rPr>
          <w:rFonts w:hint="eastAsia" w:asciiTheme="minorEastAsia" w:hAnsiTheme="minorEastAsia" w:eastAsiaTheme="minorEastAsia" w:cstheme="minorEastAsia"/>
          <w:kern w:val="0"/>
          <w:sz w:val="24"/>
          <w:szCs w:val="24"/>
        </w:rPr>
        <w:t>471558227682</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b/>
          <w:bCs/>
          <w:sz w:val="24"/>
          <w:szCs w:val="24"/>
        </w:rPr>
        <w:t>磋商保证金不得密封在磋商响应文件内，未按上述要求提交磋商保证金的供应商，采购单位有权拒绝其磋商响应文件。</w:t>
      </w:r>
    </w:p>
    <w:p>
      <w:pPr>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sz w:val="24"/>
          <w:szCs w:val="24"/>
        </w:rPr>
        <w:t>、联系方式</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采购单位：江苏省南通市人民检察院</w:t>
      </w:r>
    </w:p>
    <w:p>
      <w:pPr>
        <w:spacing w:line="480" w:lineRule="exact"/>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采购单位联系人：王主任        联系电话：13921670203</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代理机构：南通正扬工程项目管理有限公司</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地址：南通市崇川区青年东路255号4号楼213室</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联系人：李艳梅              联系电话：17778751998</w:t>
      </w:r>
    </w:p>
    <w:p>
      <w:pPr>
        <w:widowControl/>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邮箱号码：</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"mailto:fgyjszx2@163.com"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 w:val="24"/>
          <w:szCs w:val="24"/>
        </w:rPr>
        <w:t>1205007749@qq.com</w:t>
      </w:r>
      <w:r>
        <w:rPr>
          <w:rFonts w:hint="eastAsia" w:asciiTheme="minorEastAsia" w:hAnsiTheme="minorEastAsia" w:eastAsiaTheme="minorEastAsia" w:cstheme="minorEastAsia"/>
          <w:sz w:val="24"/>
          <w:szCs w:val="24"/>
        </w:rPr>
        <w:fldChar w:fldCharType="end"/>
      </w:r>
    </w:p>
    <w:p>
      <w:pPr>
        <w:spacing w:line="500" w:lineRule="exact"/>
        <w:ind w:firstLine="482" w:firstLineChars="200"/>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九</w:t>
      </w:r>
      <w:r>
        <w:rPr>
          <w:rFonts w:hint="eastAsia" w:asciiTheme="minorEastAsia" w:hAnsiTheme="minorEastAsia" w:eastAsiaTheme="minorEastAsia" w:cstheme="minorEastAsia"/>
          <w:b/>
          <w:bCs/>
          <w:kern w:val="0"/>
          <w:sz w:val="24"/>
          <w:szCs w:val="24"/>
        </w:rPr>
        <w:t>、招标公告发布地址</w:t>
      </w:r>
    </w:p>
    <w:p>
      <w:pPr>
        <w:spacing w:line="5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1、本次采购的有关信息将在</w:t>
      </w:r>
      <w:r>
        <w:rPr>
          <w:rFonts w:hint="eastAsia" w:asciiTheme="minorEastAsia" w:hAnsiTheme="minorEastAsia" w:eastAsiaTheme="minorEastAsia" w:cstheme="minorEastAsia"/>
          <w:b/>
          <w:kern w:val="0"/>
          <w:sz w:val="24"/>
          <w:szCs w:val="24"/>
        </w:rPr>
        <w:t>江苏省南通市人民检察院官网</w:t>
      </w:r>
      <w:r>
        <w:rPr>
          <w:rFonts w:hint="eastAsia" w:asciiTheme="minorEastAsia" w:hAnsiTheme="minorEastAsia" w:eastAsiaTheme="minorEastAsia" w:cstheme="minorEastAsia"/>
          <w:kern w:val="0"/>
          <w:sz w:val="24"/>
          <w:szCs w:val="24"/>
        </w:rPr>
        <w:t>发布，敬请留意。</w:t>
      </w:r>
    </w:p>
    <w:p>
      <w:pPr>
        <w:widowControl/>
        <w:spacing w:line="600" w:lineRule="exact"/>
        <w:ind w:left="1"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2、有关本次招标的事项若存在变动或修改，敬请及时关注江苏省南通市人民检察院官网发布的信息更正公告，恕不另行通知，如有遗漏招标采购人概不负责。</w:t>
      </w:r>
    </w:p>
    <w:p>
      <w:pPr>
        <w:spacing w:line="5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潜在供应商在获取本次招标采购文件后，认真阅读各项内容。有意愿参与本项目投标响应的供应商须进行必要准备工作，按招标文件的要求详细填写和编制响应文件，并按招标文件确定的时间、地点准时参加本项目的招标采购活动。</w:t>
      </w:r>
    </w:p>
    <w:p>
      <w:pPr>
        <w:spacing w:line="480" w:lineRule="exact"/>
        <w:ind w:firstLine="480" w:firstLineChars="200"/>
        <w:rPr>
          <w:rFonts w:hint="eastAsia" w:asciiTheme="minorEastAsia" w:hAnsiTheme="minorEastAsia" w:eastAsiaTheme="minorEastAsia" w:cstheme="minorEastAsia"/>
          <w:sz w:val="24"/>
          <w:szCs w:val="24"/>
        </w:rPr>
      </w:pPr>
    </w:p>
    <w:p>
      <w:pPr>
        <w:pStyle w:val="5"/>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第二章  投标供应商须知</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一、说明</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1、本竞争性磋商文件仅适用于采购人组织的竞争性磋商采购活动。</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2、竞争性磋商活动及因本次磋商产生的合同受中国法律制约和保护。</w:t>
      </w:r>
    </w:p>
    <w:p>
      <w:pPr>
        <w:snapToGrid w:val="0"/>
        <w:spacing w:line="480" w:lineRule="exact"/>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3、竞争性磋商文件的解释权属于采购人。</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Theme="minorEastAsia" w:hAnsiTheme="minorEastAsia" w:eastAsiaTheme="minorEastAsia" w:cstheme="minorEastAsia"/>
          <w:b/>
          <w:sz w:val="24"/>
          <w:szCs w:val="24"/>
        </w:rPr>
        <w:t>非书面形式的不作为日后质疑提出的依据。</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二、磋商文件的澄清、修改、答疑</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1、代理机构有权对发出的磋商文件进行必要的澄清、修改或补充。</w:t>
      </w:r>
    </w:p>
    <w:p>
      <w:pPr>
        <w:snapToGrid w:val="0"/>
        <w:spacing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2、磋商文件的澄清、修改、补充等内容均以书面明确的形式发布，并以江苏省南通市人民检察院官网发布的信息为准。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3、代理机构对磋商文件的澄清、修改将构成磋商文件的一部分，对响应磋商的供应商具有约束力。</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三、响应文件的编制及装订</w:t>
      </w:r>
    </w:p>
    <w:p>
      <w:pPr>
        <w:spacing w:line="48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四、响应文件的份数和签署</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资格审查文件、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技术响应文件、③商务报价响应文件共3部分组成（以下由文件序号代称）。</w:t>
      </w:r>
    </w:p>
    <w:p>
      <w:pPr>
        <w:snapToGrid w:val="0"/>
        <w:spacing w:line="480" w:lineRule="exact"/>
        <w:ind w:firstLine="480" w:firstLineChars="20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2、响应文件均为一式三份，其中“正本”一份和“副本”二份。</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5、响应文件中的所有“正本”，其正文内容须按磋商文件要求由供应商法定代表人或被授权人签字（或盖章）并加盖单位公章。“副本”可复印，但须加盖单位公章。</w:t>
      </w:r>
    </w:p>
    <w:p>
      <w:pPr>
        <w:snapToGrid w:val="0"/>
        <w:spacing w:line="480" w:lineRule="exact"/>
        <w:ind w:firstLine="472" w:firstLineChars="19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五、响应文件的密封及标记</w:t>
      </w:r>
    </w:p>
    <w:p>
      <w:pPr>
        <w:snapToGrid w:val="0"/>
        <w:spacing w:line="480" w:lineRule="exact"/>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1、供应商须将本项目响应文件：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3 \* GB3</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
          <w:sz w:val="24"/>
          <w:szCs w:val="24"/>
        </w:rPr>
        <w:t>单独密封</w:t>
      </w:r>
      <w:r>
        <w:rPr>
          <w:rFonts w:hint="eastAsia" w:asciiTheme="minorEastAsia" w:hAnsiTheme="minorEastAsia" w:eastAsiaTheme="minorEastAsia" w:cstheme="minorEastAsia"/>
          <w:sz w:val="24"/>
          <w:szCs w:val="24"/>
        </w:rPr>
        <w:t>。</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3、在边缝处加盖供应商公章或骑缝签字。</w:t>
      </w:r>
    </w:p>
    <w:p>
      <w:pPr>
        <w:snapToGrid w:val="0"/>
        <w:spacing w:line="48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【特别提醒】</w:t>
      </w:r>
      <w:r>
        <w:rPr>
          <w:rFonts w:hint="eastAsia" w:asciiTheme="minorEastAsia" w:hAnsiTheme="minorEastAsia" w:eastAsiaTheme="minorEastAsia" w:cstheme="minorEastAsia"/>
          <w:sz w:val="24"/>
          <w:szCs w:val="24"/>
        </w:rPr>
        <w:t>响应文件中的</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1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的“正本”或“副本”中，均不得含有商务报价响应文件中报价表（报价单）内的任何项目价格，否则作无效投标处理。</w:t>
      </w:r>
    </w:p>
    <w:p>
      <w:pPr>
        <w:snapToGrid w:val="0"/>
        <w:spacing w:line="480" w:lineRule="exact"/>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六、磋商报价</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1、本项目不接受任何有选择的报价。</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2、磋商报价均以人民币为报价的币种。</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4、供应商应按本竞争性磋商文件内项目需求的全部采购内容计算单价和总价。</w:t>
      </w:r>
    </w:p>
    <w:p>
      <w:pPr>
        <w:snapToGrid w:val="0"/>
        <w:spacing w:line="480" w:lineRule="exact"/>
        <w:ind w:firstLine="494" w:firstLineChars="206"/>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5、投标总报价（以人民币计价）</w:t>
      </w:r>
      <w:r>
        <w:rPr>
          <w:rFonts w:hint="eastAsia" w:asciiTheme="minorEastAsia" w:hAnsiTheme="minorEastAsia" w:eastAsiaTheme="minorEastAsia" w:cstheme="minorEastAsia"/>
          <w:sz w:val="24"/>
          <w:szCs w:val="24"/>
          <w:highlight w:val="none"/>
          <w:lang w:eastAsia="zh-CN"/>
        </w:rPr>
        <w:t>包含所有设备费、安装调试费、运输到指定地点的装运费用（含装卸力资）、相关安装辅助材料费、连接运行配件</w:t>
      </w:r>
      <w:r>
        <w:rPr>
          <w:rFonts w:hint="eastAsia" w:asciiTheme="minorEastAsia" w:hAnsiTheme="minorEastAsia" w:eastAsiaTheme="minorEastAsia" w:cstheme="minorEastAsia"/>
          <w:sz w:val="24"/>
          <w:szCs w:val="24"/>
          <w:highlight w:val="none"/>
          <w:lang w:val="en-US" w:eastAsia="zh-CN"/>
        </w:rPr>
        <w:t>费、施工后的修补、</w:t>
      </w:r>
      <w:r>
        <w:rPr>
          <w:rFonts w:hint="eastAsia" w:asciiTheme="minorEastAsia" w:hAnsiTheme="minorEastAsia" w:eastAsiaTheme="minorEastAsia" w:cstheme="minorEastAsia"/>
          <w:sz w:val="24"/>
          <w:szCs w:val="24"/>
          <w:highlight w:val="none"/>
          <w:lang w:eastAsia="zh-CN"/>
        </w:rPr>
        <w:t>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w:t>
      </w:r>
      <w:r>
        <w:rPr>
          <w:rFonts w:hint="eastAsia" w:asciiTheme="minorEastAsia" w:hAnsiTheme="minorEastAsia" w:eastAsiaTheme="minorEastAsia" w:cstheme="minorEastAsia"/>
          <w:sz w:val="24"/>
          <w:szCs w:val="24"/>
          <w:highlight w:val="none"/>
          <w:lang w:val="en-US" w:eastAsia="zh-CN"/>
        </w:rPr>
        <w:t>中标供应商有义务保证甲方系统的完整性，部分连接运行配件未在谈判文件中明示的，中标供应商须予以补充。如项目实施过程中因缺少设备、配件或服务导致采购人系统无法正常运行，中标供应商须免费提供；除采购人明确提出的变更外，本项目不再增加任何费用。</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7、竞争性磋商的最终报价为成交价。同时，供应商的最终成交价在合同实施期间不因市场变化因素而变动。</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8、所有参与本项目强、弱电工程师及其他施工人员均须为专业人员，</w:t>
      </w:r>
      <w:r>
        <w:rPr>
          <w:rFonts w:hint="eastAsia" w:asciiTheme="minorEastAsia" w:hAnsiTheme="minorEastAsia" w:eastAsiaTheme="minorEastAsia" w:cstheme="minorEastAsia"/>
          <w:sz w:val="24"/>
          <w:szCs w:val="24"/>
          <w:lang w:eastAsia="zh-CN"/>
        </w:rPr>
        <w:t>本项目投标人独立承担用人风险，自行制订防范用人风险方案。用人单位自行建立风险管理调控机制，对意外伤害或工伤等风险充分预估，报价时自行考虑，一旦出现上述问题，采购方不承担任何连带赔偿责任。</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、最低的磋商报价是成交的重要条件，但不是成交的唯一条件。</w:t>
      </w:r>
    </w:p>
    <w:p>
      <w:pPr>
        <w:snapToGrid w:val="0"/>
        <w:spacing w:line="480" w:lineRule="exact"/>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七、联合体参与磋商</w:t>
      </w:r>
    </w:p>
    <w:p>
      <w:pPr>
        <w:snapToGrid w:val="0"/>
        <w:spacing w:line="48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不接受任何形式的联合体参与本项目的竞争性磋商。</w:t>
      </w:r>
    </w:p>
    <w:p>
      <w:pPr>
        <w:snapToGrid w:val="0"/>
        <w:spacing w:line="480" w:lineRule="exact"/>
        <w:ind w:firstLine="482" w:firstLineChars="200"/>
        <w:outlineLvl w:val="1"/>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八、</w:t>
      </w:r>
      <w:r>
        <w:rPr>
          <w:rFonts w:hint="eastAsia" w:asciiTheme="minorEastAsia" w:hAnsiTheme="minorEastAsia" w:eastAsiaTheme="minorEastAsia" w:cstheme="minorEastAsia"/>
          <w:b/>
          <w:bCs/>
          <w:sz w:val="24"/>
          <w:szCs w:val="24"/>
        </w:rPr>
        <w:t>磋商</w:t>
      </w:r>
      <w:r>
        <w:rPr>
          <w:rFonts w:hint="eastAsia" w:asciiTheme="minorEastAsia" w:hAnsiTheme="minorEastAsia" w:eastAsiaTheme="minorEastAsia" w:cstheme="minorEastAsia"/>
          <w:b/>
          <w:bCs/>
          <w:sz w:val="24"/>
          <w:szCs w:val="24"/>
          <w:lang w:val="zh-CN"/>
        </w:rPr>
        <w:t>保证金退还</w:t>
      </w:r>
    </w:p>
    <w:p>
      <w:pPr>
        <w:snapToGrid w:val="0"/>
        <w:spacing w:line="52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1、未成交的供应商的磋商保证金，当场退还，成交供应商的磋商保证金将在采购单位与成交供应商签订的合同生效后5个工作日内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予以退还（无息）。</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2、发生下列情况之一，磋商保证金将不予退还。</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kern w:val="0"/>
          <w:sz w:val="24"/>
          <w:szCs w:val="24"/>
        </w:rPr>
        <w:t>供应商在提交响应文件截止时间后撤回响应文件的；</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0"/>
          <w:sz w:val="24"/>
          <w:szCs w:val="24"/>
        </w:rPr>
        <w:t>供应商在响应文件中提供虚假材料的；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（3）除因不可抗力或磋商文件认可的情形以外，</w:t>
      </w:r>
      <w:r>
        <w:rPr>
          <w:rFonts w:hint="eastAsia" w:asciiTheme="minorEastAsia" w:hAnsiTheme="minorEastAsia" w:eastAsiaTheme="minorEastAsia" w:cstheme="minorEastAsia"/>
          <w:bCs/>
          <w:sz w:val="24"/>
          <w:szCs w:val="24"/>
        </w:rPr>
        <w:t>中标人</w:t>
      </w:r>
      <w:r>
        <w:rPr>
          <w:rFonts w:hint="eastAsia" w:asciiTheme="minorEastAsia" w:hAnsiTheme="minorEastAsia" w:eastAsiaTheme="minorEastAsia" w:cstheme="minorEastAsia"/>
          <w:sz w:val="24"/>
          <w:szCs w:val="24"/>
        </w:rPr>
        <w:t xml:space="preserve">不按规定缴纳履约保证金或不与采购单位签订合同的； </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kern w:val="0"/>
          <w:sz w:val="24"/>
          <w:szCs w:val="24"/>
        </w:rPr>
        <w:t>供应商与采购单位、其他供应商或者代理机构恶意串通的；</w:t>
      </w:r>
    </w:p>
    <w:p>
      <w:pPr>
        <w:snapToGrid w:val="0"/>
        <w:spacing w:line="480" w:lineRule="exact"/>
        <w:ind w:firstLine="460" w:firstLineChars="19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（5）供应商在磋商过程中有违反有关法律法规的行为；</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（6）磋商文件规定的其他情形的。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82"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九、响应文件及</w:t>
      </w:r>
      <w:r>
        <w:rPr>
          <w:rFonts w:hint="eastAsia" w:asciiTheme="minorEastAsia" w:hAnsiTheme="minorEastAsia" w:eastAsiaTheme="minorEastAsia" w:cstheme="minorEastAsia"/>
          <w:b/>
          <w:kern w:val="0"/>
          <w:sz w:val="24"/>
          <w:szCs w:val="24"/>
        </w:rPr>
        <w:t>磋商</w:t>
      </w:r>
      <w:r>
        <w:rPr>
          <w:rFonts w:hint="eastAsia" w:asciiTheme="minorEastAsia" w:hAnsiTheme="minorEastAsia" w:eastAsiaTheme="minorEastAsia" w:cstheme="minorEastAsia"/>
          <w:b/>
          <w:bCs/>
          <w:sz w:val="24"/>
          <w:szCs w:val="24"/>
        </w:rPr>
        <w:t>费用</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1、磋商文件每套售价300元（现金），在递交磋商响应文件的同时提交给招标代理机构。</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2、本项目招标代理服务费及评委费由成交供应商支付。招标代理服务费</w:t>
      </w:r>
      <w:r>
        <w:rPr>
          <w:rFonts w:hint="eastAsia" w:asciiTheme="minorEastAsia" w:hAnsiTheme="minorEastAsia" w:eastAsiaTheme="minorEastAsia" w:cstheme="minorEastAsia"/>
          <w:sz w:val="24"/>
          <w:szCs w:val="24"/>
          <w:lang w:val="en-US" w:eastAsia="zh-CN"/>
        </w:rPr>
        <w:t>2500</w:t>
      </w:r>
      <w:r>
        <w:rPr>
          <w:rFonts w:hint="eastAsia" w:asciiTheme="minorEastAsia" w:hAnsiTheme="minorEastAsia" w:eastAsiaTheme="minorEastAsia" w:cstheme="minorEastAsia"/>
          <w:sz w:val="24"/>
          <w:szCs w:val="24"/>
        </w:rPr>
        <w:t>元。评委费按实支付。</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3、磋商程序顺利进行后，除供应商的原件可退回外，其余所有的响应文件都将作为档案保存，不论成交与否，代理机构均不退回。</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4、无论磋商过程和结果如何，参加项目磋商的供应商自行承担与本次项目磋商有关的全部费用。</w:t>
      </w:r>
    </w:p>
    <w:p>
      <w:pPr>
        <w:snapToGrid w:val="0"/>
        <w:spacing w:line="360" w:lineRule="auto"/>
        <w:ind w:firstLine="207" w:firstLineChars="206"/>
        <w:outlineLvl w:val="1"/>
        <w:rPr>
          <w:rFonts w:hint="eastAsia" w:asciiTheme="minorEastAsia" w:hAnsiTheme="minorEastAsia" w:eastAsiaTheme="minorEastAsia" w:cstheme="minorEastAsia"/>
          <w:b/>
          <w:bCs/>
          <w:sz w:val="10"/>
          <w:szCs w:val="10"/>
        </w:rPr>
      </w:pPr>
    </w:p>
    <w:p>
      <w:pPr>
        <w:snapToGrid w:val="0"/>
        <w:spacing w:line="360" w:lineRule="auto"/>
        <w:ind w:firstLine="496" w:firstLineChars="206"/>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十、履约保证金</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1、本项目成交后的履约保证金</w:t>
      </w:r>
      <w:r>
        <w:rPr>
          <w:rFonts w:hint="eastAsia" w:asciiTheme="minorEastAsia" w:hAnsiTheme="minorEastAsia" w:eastAsiaTheme="minorEastAsia" w:cstheme="minorEastAsia"/>
          <w:sz w:val="24"/>
          <w:szCs w:val="24"/>
          <w:highlight w:val="none"/>
        </w:rPr>
        <w:t>为</w:t>
      </w:r>
      <w:r>
        <w:rPr>
          <w:rFonts w:hint="eastAsia" w:asciiTheme="minorEastAsia" w:hAnsiTheme="minorEastAsia" w:eastAsiaTheme="minorEastAsia" w:cstheme="minorEastAsia"/>
          <w:sz w:val="24"/>
          <w:szCs w:val="24"/>
          <w:highlight w:val="none"/>
          <w:lang w:eastAsia="zh-CN"/>
        </w:rPr>
        <w:t>合同总价的</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2、成交供应商的履约保证金须在成交通知书发出3日内汇入采购单位账户，成交供应商在成交通知书发出后</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日内与采购单位签订合同。超期或未有协商，则视为自动放弃成交资格。</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3、成交供应商在按要求保质保量的完成该项目后，采购单位凭成交供应商提交的申请，一次性无息退还该合同项目的履约保证金。</w:t>
      </w:r>
    </w:p>
    <w:p>
      <w:pPr>
        <w:snapToGrid w:val="0"/>
        <w:spacing w:line="480" w:lineRule="exact"/>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96" w:firstLineChars="206"/>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十一、未尽事宜</w:t>
      </w:r>
    </w:p>
    <w:p>
      <w:pPr>
        <w:snapToGrid w:val="0"/>
        <w:spacing w:line="480" w:lineRule="exact"/>
        <w:ind w:firstLine="494" w:firstLineChars="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按《中华人民共和国政府采购法》《政府采购竞争性磋商采购方式管理暂行办法》及其他有关法律法规的规定执行。</w:t>
      </w:r>
    </w:p>
    <w:p>
      <w:pPr>
        <w:pStyle w:val="5"/>
        <w:keepNext w:val="0"/>
        <w:keepLines w:val="0"/>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bookmarkStart w:id="0" w:name="_Toc432763305"/>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第三章  项目需求</w:t>
      </w:r>
      <w:bookmarkEnd w:id="0"/>
    </w:p>
    <w:p>
      <w:pPr>
        <w:pStyle w:val="28"/>
        <w:keepNext w:val="0"/>
        <w:keepLines w:val="0"/>
        <w:pageBreakBefore w:val="0"/>
        <w:widowControl w:val="0"/>
        <w:numPr>
          <w:ilvl w:val="0"/>
          <w:numId w:val="3"/>
        </w:numPr>
        <w:tabs>
          <w:tab w:val="left" w:pos="8931"/>
        </w:tabs>
        <w:kinsoku/>
        <w:wordWrap/>
        <w:overflowPunct/>
        <w:topLinePunct w:val="0"/>
        <w:autoSpaceDE/>
        <w:autoSpaceDN/>
        <w:bidi w:val="0"/>
        <w:snapToGrid w:val="0"/>
        <w:spacing w:line="360" w:lineRule="auto"/>
        <w:ind w:right="0" w:rightChars="0" w:firstLineChars="0"/>
        <w:contextualSpacing/>
        <w:outlineLvl w:val="0"/>
        <w:rPr>
          <w:rFonts w:hint="eastAsia" w:asciiTheme="minorEastAsia" w:hAnsiTheme="minorEastAsia" w:eastAsiaTheme="minorEastAsia" w:cstheme="minorEastAsia"/>
          <w:b/>
          <w:color w:val="000000" w:themeColor="text1"/>
          <w:sz w:val="24"/>
          <w:szCs w:val="24"/>
        </w:rPr>
      </w:pPr>
      <w:bookmarkStart w:id="1" w:name="_Toc26714352"/>
      <w:r>
        <w:rPr>
          <w:rFonts w:hint="eastAsia" w:asciiTheme="minorEastAsia" w:hAnsiTheme="minorEastAsia" w:eastAsiaTheme="minorEastAsia" w:cstheme="minorEastAsia"/>
          <w:b/>
          <w:color w:val="000000" w:themeColor="text1"/>
          <w:sz w:val="24"/>
          <w:szCs w:val="24"/>
        </w:rPr>
        <w:t>设计原则</w:t>
      </w:r>
      <w:bookmarkEnd w:id="1"/>
    </w:p>
    <w:p>
      <w:pPr>
        <w:keepNext w:val="0"/>
        <w:keepLines w:val="0"/>
        <w:pageBreakBefore w:val="0"/>
        <w:widowControl w:val="0"/>
        <w:kinsoku/>
        <w:wordWrap/>
        <w:overflowPunct/>
        <w:topLinePunct w:val="0"/>
        <w:autoSpaceDE/>
        <w:autoSpaceDN/>
        <w:bidi w:val="0"/>
        <w:spacing w:line="360" w:lineRule="auto"/>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为确保会议系统建设和应用的成功，在本方案的设计中要遵循以下原则： </w:t>
      </w:r>
    </w:p>
    <w:p>
      <w:pPr>
        <w:keepNext w:val="0"/>
        <w:keepLines w:val="0"/>
        <w:pageBreakBefore w:val="0"/>
        <w:widowControl w:val="0"/>
        <w:kinsoku/>
        <w:wordWrap/>
        <w:overflowPunct/>
        <w:topLinePunct w:val="0"/>
        <w:autoSpaceDE/>
        <w:autoSpaceDN/>
        <w:bidi w:val="0"/>
        <w:spacing w:line="360" w:lineRule="auto"/>
        <w:ind w:right="0" w:righ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标准性：</w:t>
      </w:r>
      <w:r>
        <w:rPr>
          <w:rFonts w:hint="eastAsia" w:asciiTheme="minorEastAsia" w:hAnsiTheme="minorEastAsia" w:eastAsiaTheme="minorEastAsia" w:cstheme="minorEastAsia"/>
          <w:sz w:val="24"/>
          <w:szCs w:val="24"/>
        </w:rPr>
        <w:t>符合设计及安装的国内、国际标准。 </w:t>
      </w:r>
    </w:p>
    <w:p>
      <w:pPr>
        <w:keepNext w:val="0"/>
        <w:keepLines w:val="0"/>
        <w:pageBreakBefore w:val="0"/>
        <w:widowControl w:val="0"/>
        <w:kinsoku/>
        <w:wordWrap/>
        <w:overflowPunct/>
        <w:topLinePunct w:val="0"/>
        <w:autoSpaceDE/>
        <w:autoSpaceDN/>
        <w:bidi w:val="0"/>
        <w:spacing w:line="360" w:lineRule="auto"/>
        <w:ind w:right="0" w:righ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实用性：</w:t>
      </w:r>
      <w:r>
        <w:rPr>
          <w:rFonts w:hint="eastAsia" w:asciiTheme="minorEastAsia" w:hAnsiTheme="minorEastAsia" w:eastAsiaTheme="minorEastAsia" w:cstheme="minorEastAsia"/>
          <w:sz w:val="24"/>
          <w:szCs w:val="24"/>
        </w:rPr>
        <w:t>满足当前的各种通讯要求和未来的应用。 </w:t>
      </w:r>
    </w:p>
    <w:p>
      <w:pPr>
        <w:keepNext w:val="0"/>
        <w:keepLines w:val="0"/>
        <w:pageBreakBefore w:val="0"/>
        <w:widowControl w:val="0"/>
        <w:kinsoku/>
        <w:wordWrap/>
        <w:overflowPunct/>
        <w:topLinePunct w:val="0"/>
        <w:autoSpaceDE/>
        <w:autoSpaceDN/>
        <w:bidi w:val="0"/>
        <w:spacing w:line="360" w:lineRule="auto"/>
        <w:ind w:right="0" w:righ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先进性：</w:t>
      </w:r>
      <w:r>
        <w:rPr>
          <w:rFonts w:hint="eastAsia" w:asciiTheme="minorEastAsia" w:hAnsiTheme="minorEastAsia" w:eastAsiaTheme="minorEastAsia" w:cstheme="minorEastAsia"/>
          <w:sz w:val="24"/>
          <w:szCs w:val="24"/>
        </w:rPr>
        <w:t>采用成熟、先进的技术和设备。 </w:t>
      </w:r>
    </w:p>
    <w:p>
      <w:pPr>
        <w:keepNext w:val="0"/>
        <w:keepLines w:val="0"/>
        <w:pageBreakBefore w:val="0"/>
        <w:widowControl w:val="0"/>
        <w:kinsoku/>
        <w:wordWrap/>
        <w:overflowPunct/>
        <w:topLinePunct w:val="0"/>
        <w:autoSpaceDE/>
        <w:autoSpaceDN/>
        <w:bidi w:val="0"/>
        <w:spacing w:line="360" w:lineRule="auto"/>
        <w:ind w:right="0" w:righ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安全性：</w:t>
      </w:r>
      <w:r>
        <w:rPr>
          <w:rFonts w:hint="eastAsia" w:asciiTheme="minorEastAsia" w:hAnsiTheme="minorEastAsia" w:eastAsiaTheme="minorEastAsia" w:cstheme="minorEastAsia"/>
          <w:sz w:val="24"/>
          <w:szCs w:val="24"/>
        </w:rPr>
        <w:t>利于防火、防水、防雷击、防静电、防破坏和抗干扰等。 </w:t>
      </w:r>
    </w:p>
    <w:p>
      <w:pPr>
        <w:keepNext w:val="0"/>
        <w:keepLines w:val="0"/>
        <w:pageBreakBefore w:val="0"/>
        <w:widowControl w:val="0"/>
        <w:kinsoku/>
        <w:wordWrap/>
        <w:overflowPunct/>
        <w:topLinePunct w:val="0"/>
        <w:autoSpaceDE/>
        <w:autoSpaceDN/>
        <w:bidi w:val="0"/>
        <w:spacing w:line="360" w:lineRule="auto"/>
        <w:ind w:right="0" w:righ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维护性：</w:t>
      </w:r>
      <w:r>
        <w:rPr>
          <w:rFonts w:hint="eastAsia" w:asciiTheme="minorEastAsia" w:hAnsiTheme="minorEastAsia" w:eastAsiaTheme="minorEastAsia" w:cstheme="minorEastAsia"/>
          <w:sz w:val="24"/>
          <w:szCs w:val="24"/>
        </w:rPr>
        <w:t>便于维护和管理，有利于故障检查和排除。 </w:t>
      </w:r>
    </w:p>
    <w:p>
      <w:pPr>
        <w:keepNext w:val="0"/>
        <w:keepLines w:val="0"/>
        <w:pageBreakBefore w:val="0"/>
        <w:widowControl w:val="0"/>
        <w:kinsoku/>
        <w:wordWrap/>
        <w:overflowPunct/>
        <w:topLinePunct w:val="0"/>
        <w:autoSpaceDE/>
        <w:autoSpaceDN/>
        <w:bidi w:val="0"/>
        <w:spacing w:line="360" w:lineRule="auto"/>
        <w:ind w:right="0" w:righ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兼容性：</w:t>
      </w:r>
      <w:r>
        <w:rPr>
          <w:rFonts w:hint="eastAsia" w:asciiTheme="minorEastAsia" w:hAnsiTheme="minorEastAsia" w:eastAsiaTheme="minorEastAsia" w:cstheme="minorEastAsia"/>
          <w:sz w:val="24"/>
          <w:szCs w:val="24"/>
        </w:rPr>
        <w:t>利于硬、软件的兼容，系统的升级和扩充。 </w:t>
      </w:r>
    </w:p>
    <w:p>
      <w:pPr>
        <w:keepNext w:val="0"/>
        <w:keepLines w:val="0"/>
        <w:pageBreakBefore w:val="0"/>
        <w:widowControl w:val="0"/>
        <w:kinsoku/>
        <w:wordWrap/>
        <w:overflowPunct/>
        <w:topLinePunct w:val="0"/>
        <w:autoSpaceDE/>
        <w:autoSpaceDN/>
        <w:bidi w:val="0"/>
        <w:spacing w:line="360" w:lineRule="auto"/>
        <w:ind w:right="0" w:rightChars="0"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经济性：</w:t>
      </w:r>
      <w:r>
        <w:rPr>
          <w:rFonts w:hint="eastAsia" w:asciiTheme="minorEastAsia" w:hAnsiTheme="minorEastAsia" w:eastAsiaTheme="minorEastAsia" w:cstheme="minorEastAsia"/>
          <w:sz w:val="24"/>
          <w:szCs w:val="24"/>
        </w:rPr>
        <w:t>在满足现有需求和未来应用的基础上，要有好的性能价格比和保护原有的投资。</w:t>
      </w:r>
    </w:p>
    <w:p>
      <w:pPr>
        <w:keepNext w:val="0"/>
        <w:keepLines w:val="0"/>
        <w:pageBreakBefore w:val="0"/>
        <w:widowControl w:val="0"/>
        <w:kinsoku/>
        <w:wordWrap/>
        <w:overflowPunct/>
        <w:topLinePunct w:val="0"/>
        <w:autoSpaceDE/>
        <w:autoSpaceDN/>
        <w:bidi w:val="0"/>
        <w:spacing w:line="360" w:lineRule="auto"/>
        <w:ind w:right="0" w:rightChars="0"/>
        <w:rPr>
          <w:rFonts w:hint="eastAsia" w:asciiTheme="minorEastAsia" w:hAnsiTheme="minorEastAsia" w:eastAsiaTheme="minorEastAsia" w:cstheme="minorEastAsia"/>
          <w:sz w:val="24"/>
          <w:szCs w:val="24"/>
        </w:rPr>
      </w:pPr>
    </w:p>
    <w:p>
      <w:pPr>
        <w:pStyle w:val="28"/>
        <w:keepNext w:val="0"/>
        <w:keepLines w:val="0"/>
        <w:pageBreakBefore w:val="0"/>
        <w:widowControl w:val="0"/>
        <w:numPr>
          <w:ilvl w:val="0"/>
          <w:numId w:val="3"/>
        </w:numPr>
        <w:tabs>
          <w:tab w:val="left" w:pos="8931"/>
        </w:tabs>
        <w:kinsoku/>
        <w:wordWrap/>
        <w:overflowPunct/>
        <w:topLinePunct w:val="0"/>
        <w:autoSpaceDE/>
        <w:autoSpaceDN/>
        <w:bidi w:val="0"/>
        <w:snapToGrid w:val="0"/>
        <w:spacing w:line="360" w:lineRule="auto"/>
        <w:ind w:right="0" w:rightChars="0" w:firstLineChars="0"/>
        <w:contextualSpacing/>
        <w:outlineLvl w:val="0"/>
        <w:rPr>
          <w:rFonts w:hint="eastAsia" w:asciiTheme="minorEastAsia" w:hAnsiTheme="minorEastAsia" w:eastAsiaTheme="minorEastAsia" w:cstheme="minorEastAsia"/>
          <w:b/>
          <w:color w:val="000000" w:themeColor="text1"/>
          <w:sz w:val="24"/>
          <w:szCs w:val="24"/>
        </w:rPr>
      </w:pPr>
      <w:bookmarkStart w:id="2" w:name="_Toc26714353"/>
      <w:r>
        <w:rPr>
          <w:rFonts w:hint="eastAsia" w:asciiTheme="minorEastAsia" w:hAnsiTheme="minorEastAsia" w:eastAsiaTheme="minorEastAsia" w:cstheme="minorEastAsia"/>
          <w:b/>
          <w:color w:val="000000" w:themeColor="text1"/>
          <w:sz w:val="24"/>
          <w:szCs w:val="24"/>
        </w:rPr>
        <w:t>系统设计方案</w:t>
      </w:r>
      <w:bookmarkEnd w:id="2"/>
      <w:bookmarkStart w:id="3" w:name="_Toc26714354"/>
    </w:p>
    <w:bookmarkEnd w:id="3"/>
    <w:p>
      <w:pPr>
        <w:pStyle w:val="9"/>
        <w:keepNext w:val="0"/>
        <w:keepLines w:val="0"/>
        <w:pageBreakBefore w:val="0"/>
        <w:widowControl w:val="0"/>
        <w:kinsoku/>
        <w:wordWrap/>
        <w:overflowPunct/>
        <w:topLinePunct w:val="0"/>
        <w:autoSpaceDE/>
        <w:autoSpaceDN/>
        <w:bidi w:val="0"/>
        <w:spacing w:line="360" w:lineRule="auto"/>
        <w:ind w:right="0" w:rightChars="0"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本方案</w:t>
      </w:r>
      <w:r>
        <w:rPr>
          <w:rFonts w:hint="eastAsia" w:asciiTheme="minorEastAsia" w:hAnsiTheme="minorEastAsia" w:eastAsiaTheme="minorEastAsia" w:cstheme="minorEastAsia"/>
          <w:sz w:val="24"/>
          <w:szCs w:val="24"/>
        </w:rPr>
        <w:t>显示系统中，增加11套升降式15.6寸触摸高清屏显示器，分布于主会议桌，两侧各5套， 主席位1套。在会议室西墙壁南北各安装一台65寸显示器（配合装修进行），便于会议正面观看。此显示系统为同屏显示方式，当有一台HDMI信号源输入此系统时，自动同屏显示信号源画面，有多台信号源输入时，可通过手动切换到所需画面。</w:t>
      </w:r>
    </w:p>
    <w:p>
      <w:pPr>
        <w:pStyle w:val="9"/>
        <w:keepNext w:val="0"/>
        <w:keepLines w:val="0"/>
        <w:pageBreakBefore w:val="0"/>
        <w:widowControl w:val="0"/>
        <w:kinsoku/>
        <w:wordWrap/>
        <w:overflowPunct/>
        <w:topLinePunct w:val="0"/>
        <w:autoSpaceDE/>
        <w:autoSpaceDN/>
        <w:bidi w:val="0"/>
        <w:spacing w:line="360" w:lineRule="auto"/>
        <w:ind w:right="0" w:rightChars="0"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增加一套数字化会议系统、扩声系统。根据会议室实际环境，在会议室的西墙壁挂一对音箱、中间壁挂一对音箱（与西墙壁音箱互补），中间再壁挂一对音箱对会议室后方形成补充。此次数字化会议系统的采用11套升降式数字咪杆，不用时可以下降。分布于主会议桌，两侧各5套，主席台1套，与升降屏并排，根据桌面设计大小，需要时增加4套升降屏模具，以方便后期增加显示屏。同时在会议条桌上，每排中间放置一套会议系统桌插，以便后排会议成员的发言。</w:t>
      </w:r>
    </w:p>
    <w:p>
      <w:pPr>
        <w:pStyle w:val="9"/>
        <w:keepNext w:val="0"/>
        <w:keepLines w:val="0"/>
        <w:pageBreakBefore w:val="0"/>
        <w:widowControl w:val="0"/>
        <w:kinsoku/>
        <w:wordWrap/>
        <w:overflowPunct/>
        <w:topLinePunct w:val="0"/>
        <w:autoSpaceDE/>
        <w:autoSpaceDN/>
        <w:bidi w:val="0"/>
        <w:spacing w:line="360" w:lineRule="auto"/>
        <w:ind w:right="0" w:rightChars="0"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在主会议桌中间及条桌每排的中间放置会议桌插（电源、网络、音频、HDMI接口），便于终端信号的接入与供电。</w:t>
      </w:r>
    </w:p>
    <w:p>
      <w:pPr>
        <w:pStyle w:val="9"/>
        <w:keepNext w:val="0"/>
        <w:keepLines w:val="0"/>
        <w:pageBreakBefore w:val="0"/>
        <w:widowControl w:val="0"/>
        <w:kinsoku/>
        <w:wordWrap/>
        <w:overflowPunct/>
        <w:topLinePunct w:val="0"/>
        <w:autoSpaceDE/>
        <w:autoSpaceDN/>
        <w:bidi w:val="0"/>
        <w:spacing w:line="360" w:lineRule="auto"/>
        <w:ind w:right="0" w:rightChars="0"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网络部分，主会议桌15台升降显示系统（4台模具）和会议桌插都预留布置六类网络线，两台电视机预留布置网络线各一，便于后期升级使用。从三楼主机房拉光纤至四楼会议室机柜，分列三套网络（涉密网、工作网、外网）。</w:t>
      </w:r>
      <w:bookmarkStart w:id="4" w:name="_Toc26714355"/>
    </w:p>
    <w:p>
      <w:pPr>
        <w:pStyle w:val="9"/>
        <w:ind w:firstLine="560"/>
        <w:rPr>
          <w:rFonts w:hint="eastAsia" w:asciiTheme="minorEastAsia" w:hAnsiTheme="minorEastAsia" w:eastAsiaTheme="minorEastAsia" w:cstheme="minorEastAsia"/>
          <w:sz w:val="28"/>
          <w:szCs w:val="28"/>
        </w:rPr>
      </w:pPr>
    </w:p>
    <w:p>
      <w:pPr>
        <w:pStyle w:val="9"/>
        <w:ind w:firstLine="0" w:firstLineChars="0"/>
        <w:rPr>
          <w:rFonts w:hint="eastAsia" w:asciiTheme="minorEastAsia" w:hAnsiTheme="minorEastAsia" w:eastAsiaTheme="minorEastAsia" w:cstheme="minorEastAsia"/>
          <w:color w:val="000000" w:themeColor="text1"/>
          <w:sz w:val="30"/>
          <w:szCs w:val="30"/>
        </w:rPr>
      </w:pPr>
    </w:p>
    <w:p>
      <w:pPr>
        <w:pStyle w:val="9"/>
        <w:numPr>
          <w:ilvl w:val="0"/>
          <w:numId w:val="3"/>
        </w:numPr>
        <w:ind w:firstLineChars="0"/>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会议室平面图</w:t>
      </w:r>
      <w:bookmarkEnd w:id="4"/>
    </w:p>
    <w:p>
      <w:pPr>
        <w:pStyle w:val="9"/>
        <w:ind w:firstLine="708" w:firstLineChars="236"/>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themeColor="text1"/>
          <w:sz w:val="30"/>
          <w:szCs w:val="30"/>
        </w:rPr>
        <w:drawing>
          <wp:inline distT="0" distB="0" distL="0" distR="0">
            <wp:extent cx="6106160" cy="3774440"/>
            <wp:effectExtent l="0" t="0" r="16510" b="8890"/>
            <wp:docPr id="1" name="图片 0" descr="平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平面图.jpg"/>
                    <pic:cNvPicPr>
                      <a:picLocks noChangeAspect="1"/>
                    </pic:cNvPicPr>
                  </pic:nvPicPr>
                  <pic:blipFill>
                    <a:blip r:embed="rId6"/>
                    <a:stretch>
                      <a:fillRect/>
                    </a:stretch>
                  </pic:blipFill>
                  <pic:spPr>
                    <a:xfrm rot="5400000">
                      <a:off x="0" y="0"/>
                      <a:ext cx="6115755" cy="3780058"/>
                    </a:xfrm>
                    <a:prstGeom prst="rect">
                      <a:avLst/>
                    </a:prstGeom>
                  </pic:spPr>
                </pic:pic>
              </a:graphicData>
            </a:graphic>
          </wp:inline>
        </w:drawing>
      </w:r>
    </w:p>
    <w:p>
      <w:pPr>
        <w:tabs>
          <w:tab w:val="left" w:pos="5325"/>
        </w:tabs>
        <w:snapToGrid w:val="0"/>
        <w:spacing w:line="360" w:lineRule="auto"/>
        <w:ind w:left="-1" w:leftChars="-607" w:hanging="1274" w:hangingChars="531"/>
        <w:contextualSpacing/>
        <w:rPr>
          <w:rFonts w:hint="eastAsia" w:asciiTheme="minorEastAsia" w:hAnsiTheme="minorEastAsia" w:eastAsiaTheme="minorEastAsia" w:cstheme="minorEastAsia"/>
          <w:sz w:val="24"/>
        </w:rPr>
      </w:pPr>
    </w:p>
    <w:p>
      <w:pPr>
        <w:tabs>
          <w:tab w:val="left" w:pos="8931"/>
        </w:tabs>
        <w:snapToGrid w:val="0"/>
        <w:spacing w:line="360" w:lineRule="auto"/>
        <w:contextualSpacing/>
        <w:outlineLvl w:val="0"/>
        <w:rPr>
          <w:rFonts w:hint="eastAsia" w:asciiTheme="minorEastAsia" w:hAnsiTheme="minorEastAsia" w:eastAsiaTheme="minorEastAsia" w:cstheme="minorEastAsia"/>
          <w:b/>
          <w:color w:val="000000" w:themeColor="text1"/>
          <w:sz w:val="32"/>
          <w:szCs w:val="32"/>
        </w:rPr>
      </w:pPr>
      <w:bookmarkStart w:id="5" w:name="_Toc26714357"/>
    </w:p>
    <w:p>
      <w:pPr>
        <w:tabs>
          <w:tab w:val="left" w:pos="8931"/>
        </w:tabs>
        <w:snapToGrid w:val="0"/>
        <w:spacing w:line="360" w:lineRule="auto"/>
        <w:contextualSpacing/>
        <w:outlineLvl w:val="0"/>
        <w:rPr>
          <w:rFonts w:hint="eastAsia" w:asciiTheme="minorEastAsia" w:hAnsiTheme="minorEastAsia" w:eastAsiaTheme="minorEastAsia" w:cstheme="minorEastAsia"/>
          <w:b/>
          <w:color w:val="000000" w:themeColor="text1"/>
          <w:sz w:val="32"/>
          <w:szCs w:val="32"/>
        </w:rPr>
      </w:pPr>
    </w:p>
    <w:p>
      <w:pPr>
        <w:tabs>
          <w:tab w:val="left" w:pos="8931"/>
        </w:tabs>
        <w:snapToGrid w:val="0"/>
        <w:spacing w:line="360" w:lineRule="auto"/>
        <w:contextualSpacing/>
        <w:outlineLvl w:val="0"/>
        <w:rPr>
          <w:rFonts w:hint="eastAsia"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四、项目清单</w:t>
      </w:r>
      <w:bookmarkEnd w:id="5"/>
    </w:p>
    <w:p>
      <w:pPr>
        <w:tabs>
          <w:tab w:val="left" w:pos="5325"/>
        </w:tabs>
        <w:autoSpaceDE w:val="0"/>
        <w:autoSpaceDN w:val="0"/>
        <w:adjustRightInd w:val="0"/>
        <w:snapToGrid w:val="0"/>
        <w:spacing w:line="360" w:lineRule="auto"/>
        <w:contextualSpacing/>
        <w:outlineLvl w:val="0"/>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注：项目需求清单中技术需求为</w:t>
      </w:r>
      <w:r>
        <w:rPr>
          <w:rFonts w:hint="eastAsia" w:asciiTheme="minorEastAsia" w:hAnsiTheme="minorEastAsia" w:eastAsiaTheme="minorEastAsia" w:cstheme="minorEastAsia"/>
          <w:b/>
          <w:sz w:val="28"/>
          <w:szCs w:val="28"/>
        </w:rPr>
        <w:t>主要设备清单，不接受负偏离。供应商在实际施工中以实现功能为目标，项目不进行增补。</w:t>
      </w:r>
    </w:p>
    <w:tbl>
      <w:tblPr>
        <w:tblStyle w:val="20"/>
        <w:tblW w:w="9634" w:type="dxa"/>
        <w:jc w:val="center"/>
        <w:tblLayout w:type="fixed"/>
        <w:tblCellMar>
          <w:top w:w="0" w:type="dxa"/>
          <w:left w:w="108" w:type="dxa"/>
          <w:bottom w:w="0" w:type="dxa"/>
          <w:right w:w="108" w:type="dxa"/>
        </w:tblCellMar>
      </w:tblPr>
      <w:tblGrid>
        <w:gridCol w:w="567"/>
        <w:gridCol w:w="1227"/>
        <w:gridCol w:w="4910"/>
        <w:gridCol w:w="1088"/>
        <w:gridCol w:w="850"/>
        <w:gridCol w:w="992"/>
      </w:tblGrid>
      <w:tr>
        <w:tblPrEx>
          <w:tblCellMar>
            <w:top w:w="0" w:type="dxa"/>
            <w:left w:w="108" w:type="dxa"/>
            <w:bottom w:w="0" w:type="dxa"/>
            <w:right w:w="108" w:type="dxa"/>
          </w:tblCellMar>
        </w:tblPrEx>
        <w:trPr>
          <w:trHeight w:val="439"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序号</w:t>
            </w:r>
          </w:p>
        </w:tc>
        <w:tc>
          <w:tcPr>
            <w:tcW w:w="12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名称</w:t>
            </w:r>
          </w:p>
        </w:tc>
        <w:tc>
          <w:tcPr>
            <w:tcW w:w="4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技术参数</w:t>
            </w:r>
          </w:p>
        </w:tc>
        <w:tc>
          <w:tcPr>
            <w:tcW w:w="10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品牌</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数量</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单位</w:t>
            </w:r>
          </w:p>
        </w:tc>
      </w:tr>
      <w:tr>
        <w:tblPrEx>
          <w:tblCellMar>
            <w:top w:w="0" w:type="dxa"/>
            <w:left w:w="108" w:type="dxa"/>
            <w:bottom w:w="0" w:type="dxa"/>
            <w:right w:w="108" w:type="dxa"/>
          </w:tblCellMar>
        </w:tblPrEx>
        <w:trPr>
          <w:trHeight w:val="439" w:hRule="atLeast"/>
          <w:jc w:val="center"/>
        </w:trPr>
        <w:tc>
          <w:tcPr>
            <w:tcW w:w="963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A、显示系统</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1227"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高清液晶电视</w:t>
            </w:r>
          </w:p>
        </w:tc>
        <w:tc>
          <w:tcPr>
            <w:tcW w:w="491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HDMI输入信号，65寸，含壁挂支架</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飞利浦、海信、夏普</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963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B、扩声系统</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专业音箱150W</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1、阻抗：8Ω；</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2、频响：70Hz-20KHz；</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3、额定功率：150W；</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4、峰值功率：600W；</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5、灵敏度：96dB/W/M；</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6、最大声压级（额定/峰值）：118dB/124dB；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7、覆盖角度：(H)100°(V)80°；</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8、高音：3"锥形高音单元×2；</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9、低音：8"低音×1；</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只</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专业功放</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1、具有国家强制性3C产品认证证书（证书在官网可查），输出功率（20Hz-20KHz/THD≤1％）：立体声/并联8Ω×2：200W×2；立体声/并联4Ω×2：300W×2；桥接8Ω：600W</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2、连接座：XLR 、TRS接口</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3、电压增益 (@1KHz)：32dB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4、输入灵敏度：0.775V/1V/1.44V</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5、输入阻抗：10K Ω 非平衡、20KΩ 平衡</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6、频率响应(@1W功率下）：20Hz-20KHz/+0/-2dB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7、THD+N(@1/8功率下）：≤0.05％</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8、信噪比 (A计权)：≥90dB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9、阻尼系数 (@ 1KHz)：≥200@ 8 ohms</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10、分离度 (@1KHz)：≥80dB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11、保护方式：过流保护、直流保护、短路保护</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专业音箱</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1、阻抗：8Ω；</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2、频响：60Hz~20KHz；</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3、额定功率：200W；</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4、峰值功率：800；</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5、灵敏度：96dB/W/M；</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6、最大声压级（额定/峰值）：119dB/126dB；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7、覆盖角度：(H)80°(V)60°；</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8、高音：1.4"压缩高音单元×1；</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9、低音：8"低音×1；</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只</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专业功放</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1、具有国家强制性3C产品认证证书（证书在官网可查），输出功率（20Hz-20KHz/THD≤1％）：立体声/并联8Ω×2：350W×2；立体声/并联4Ω×2：530W×2；桥接8Ω：1060W</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2、连接座：XLR 、TRS接口</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3、电压增益 (@1KHz)：34.4dB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4、输入灵敏度：0.775V/1V/1.44V</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5、输入阻抗：10K Ω 非平衡、20KΩ 平衡</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6、频率响应(@1W功率下）：20Hz-20KHz/+0/-2dB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7、THD+N(@1/8功率下）：≤0.05％</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8、信噪比 (A计权)：≥90dB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9、阻尼系数 (@ 1KHz)：≥200@ 8 ohms</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10、分离度 (@1KHz)：≥80dB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11、保护方式：过流保护、直流保护、短路保护</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调音台</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功能特点：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1、专业型紧凑式调音台,超低噪声离散式麦克风前置放大器和+48V幻象电源，功能强大齐全，音质动听。</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2、提供8路Mic输入接口兼容6路线路输入接口，话筒输入接口带48V幻像电源。</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3、提供2组立体声输入，4路RCA输入，可连接立体设备。</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4、提供2组立体主输出、4路编组输出、4路辅助输出、1组立体声监听输出、1个耳机监听输出、2个效果输出。</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5、提供1组主混音断点插入、6个断点插入，可连接额外的处理器（压缩器、均衡器。限幅器等）。</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6、具有13个60mm行程的高精密碳膜推子。</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7、内置MP3播放器，支持1路USB接口，外接U盘播放音乐。</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8、内置USB声卡，连接电脑进行音乐播放和声音录音。</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9、内置24位DSP效果器，提供100种预设效果。</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10、提供1个USB供电接口，可连接USB照明灯。</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11.支持7段图示均衡推子调节。</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技术参数：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1.麦克风输入：8路（8个XLR接口）</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2.线路输入：6路单插单声道/立体声自动切换混合接口</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3.立体声输入通道：2组（4路单声道）、4路RCA输入</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4.输出通道：2组立体主输出、4路编组输出、4路辅助输出、1组立体声监听输出、1个耳机监听输出、2个效果输出</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5.INSERT：1组主混音断点插入、6个断点插入</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6.USB接口：外接U盘播放音乐</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7.效果器：24位DSP效果器（包括人声、小房子、大厅、回声、回声+回响、盘子、声乐板、合唱GTR，旋转GTR、颤音GTR类型），100种预设效果</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8.USB声卡端口：支持电脑播放/录音，通过CH11/12通道回放</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9.幻想电源：+48V带开关</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10.频率响应：20Hz-20kHz，±3dB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11.失真度：&lt;0.003% at+0dB,22Hz-22KHz A-weighted</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12.灵敏度：+21dB~-30dB</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音频处理器（VH.57283513）</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1、具有国家强制性3C产品认证证书（证书在官网可查），输入每通道：8路平衡式话筒/线路，采用裸线接口端子，平衡接法；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 输出每通道：8路平衡式线路输出，采用裸线接口端子，平衡接法；</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 支持DANTE网络传输协议,低延时的DANTE网络音频传输，8路发送，8路接收通道，可实现网络音频扩展；</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 提供24bit/48KHz卓越的高品质声音；</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 全功能矩阵混音，提供用户灵活、简单的信号路由操作，路由路径和电平大小可在一个按钮上完成；</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 面板具备USB接口，支持多媒体存储，可进行播放或存储录播</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 配置双向RS-232接口，可用于控制外部设备；</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 配置RS-485接口，可实现自动摄像跟踪功能；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 配置8通道可编程GPIO控制接口（可自定义输入输出）；</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 支持断电自动保护记忆功能；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 支持通道拷贝、粘贴、联控功能；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12、 Enternet多用途数据传输及控制端口，可以支持实时管理单台及多台设备；</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13、 支持通过浏览器访问设备，下载自带管理控制软件；软件界面直观、图形化，可工作在XP/Windows7、8、10等系统环境下；</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14、 支持iOS、iPad、Android的手机/平板APP进行操作控制；</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抑制器</w:t>
            </w:r>
          </w:p>
        </w:tc>
        <w:tc>
          <w:tcPr>
            <w:tcW w:w="4910" w:type="dxa"/>
            <w:tcBorders>
              <w:top w:val="nil"/>
              <w:left w:val="nil"/>
              <w:bottom w:val="single" w:color="auto" w:sz="4" w:space="0"/>
              <w:right w:val="single" w:color="auto" w:sz="4" w:space="0"/>
            </w:tcBorders>
            <w:shd w:val="clear" w:color="auto" w:fill="auto"/>
            <w:vAlign w:val="center"/>
          </w:tcPr>
          <w:p>
            <w:pPr>
              <w:widowControl/>
              <w:spacing w:after="240"/>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1、96KHz采样频率，32-bit DPS处理器，24-bitA/D及D/A转换；</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2、数字信号输入输出通道提供coaxial，AES及光纤接口；</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3、采用144 x 32的LCD显示屏显示参数功能，提供4段LED显示输出电平；</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4、每通道24个LCD灯显示啸叫抑制状态数量；</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5、每通道提供压缩、限幅、噪声门、功能设置；</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6、可切换工作模式为直通或反馈抑制；</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7、可任意编辑固定和动态反馈点数量，可一键清除啸叫点；</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8、单机可存储30组用户程序；</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技术参数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1、输入通道及插座：2路XLR母座模拟输入/2组立体声同轴/光纤/ A E S输入(每组数字口传输两路音频信号)</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2、输出通道及插座：2路XLR公座模拟输出/2组立体声同轴/光纤/ A E S输入(每组数字口传输两路音频信号)</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3、输入范围：≤+20dBu</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4、频率响应：15Hz-25KHz(-0.3dB)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5、信噪比：≥98dB@1KHz0dBu</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6、失真度：&lt;0.01% OUTPUT=0dBu/1KHz</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7、通道分离度：&gt;80dB(1KHz)</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8、啸叫寻找与抑制方式：全自动式陷波</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9、信号输入频率响应：20Hz-20KHz±0.5dB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10、滤波器：独立24个每通道</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11、频率分辨率：0.5Hz</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12、啸叫寻找时间：0.1—0.5S</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13、显示：采用分辨率为144 x 32的LED显示屏，提供4段LED显示输出电平</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8</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电源时序器PAG1232H</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1、8通道电源时序打开/关闭；</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2、远程控制（上电+24V直流信号）8通道电源时序打开/关闭—当电源开关锁处于off位置时有效PAG1232H；</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3、当远程控制有效时同时控制后板ALARM（报警）端口导通—起到级联控制ALARM（报警）功能；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4、单个通道最大负载功率2200W，所有通道负载总功率达6000W；</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5、输入连接器：大功率线码式电源连接器；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6、输出连接器：多用途电源插座；</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技术参数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1、额定输出电压：AC ~220V 50Hz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2、额定输出电流：30A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3、可控制电源：8路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4、每路动作延时时间：1秒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5、供电电源：VAC 220V　50/60Hz 30A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6、单路额定输出电源：10A</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10</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桌插</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配置接口：1个多功能电源，1*网络，3.5音频，HDMI。</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国产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只</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11</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支架</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1、固定面板固定孔尺寸（长*宽）：34mm*34mm</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箱体固定面板固定孔尺寸：110mm</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只</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12</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支架</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1、固定面板尺寸（长*宽）： 140mm*65mm</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箱体固定面板尺寸（长*宽）： 128mm*70mm</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只</w:t>
            </w:r>
          </w:p>
        </w:tc>
      </w:tr>
      <w:tr>
        <w:tblPrEx>
          <w:tblCellMar>
            <w:top w:w="0" w:type="dxa"/>
            <w:left w:w="108" w:type="dxa"/>
            <w:bottom w:w="0" w:type="dxa"/>
            <w:right w:w="108" w:type="dxa"/>
          </w:tblCellMar>
        </w:tblPrEx>
        <w:trPr>
          <w:trHeight w:val="439" w:hRule="atLeast"/>
          <w:jc w:val="center"/>
        </w:trPr>
        <w:tc>
          <w:tcPr>
            <w:tcW w:w="963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C、全数字会议系统</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nil"/>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会议系统主机</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1.数字音频传输技术，同声传译通道数15+1（默认）、31+1、63+1，语音分离技术。</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2.采用数字音频传输技术和语音分离技术，支持同声传译功能，通道数支持：15+1（默认）、31+1、63+1</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3.系统话筒容量4096台， 线路支持“热插拔”。</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4.会议单元输出接口（共4路）,输出回路指示灯.当回路正常时LED 灯闪烁，回路断开时LED 灯熄灭。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5.四种话筒管理模式: FIFO/NORMAL/ VOICE(声控)/APPLY。</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6.发言人数限制（1/2/4/8）和发言时间限制功能。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7.支持通过管理电脑使用TCP/IP协议或RS-232串口协议与数字会议系统主机通信，通过以太网接口（RJ45）或串口（DB9）连接，从而可以进行远程控制；支持通过RS-232串口连接到中控系统，实现话筒按键指令下发联动。</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8.具有RS-485接口，支持一台摄像机实现摄像跟踪,支持PELCO-D，VISCA多种摄像机控制协议。配合摄像跟踪主机达到多路视频自动跟踪功能。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9.具有1路消防报警联动触发接口，在消防紧急状况下可为会议主机面板触摸屏、单元机屏、PC软件提供火灾报警信息。</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10.具有22路莲花接口，可输出22个通道的模拟音频信号，供红外同传系统或录音使用，CH0为源音通道。</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11.具有1路光纤接口，可实现长距离传输音质无衰减功能，达到远距离两个会议室合并为一个会议室，可用于传输背景音乐。</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12.具有CobraNet网口，支持CobraNet协议音频传输。</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13.具有电源控制接口，支持电源时序器控制。</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14可实现50个会议室远程投票功能。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15.支持串口和网络双控制模式，支持无线平板控制。</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16.自带复位按键，支持一键复位至出厂状态。</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17.支持一路平衡信号和一路非平衡信号输入，一路平衡信号和一路非平衡信号输出。.</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技术参数：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 话筒容量：≤4096</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 通道数量：16（默认）、32、64CH</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 频率响应：30Hz ~ 20KHz</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 信噪比：&gt;72 dB(A)</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 通道串音：&gt;85 dB</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 总谐波失真：&lt;0.05%</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7. 主电源：90~132VAC/180~264VAC by switch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 音频输入：LINE IN 1: 775mV 平衡LINE IN 2: 775mV 非平衡</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 音频输出：LINE OUT 1: 1V 平衡LINE OUT 2: 1V 非平衡</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 输出负载：&gt;1KΩ</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11. RJ45网口：连接电脑</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会议主席单元</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1.话筒采用48KHz采样率，高于CD的音质,清晰明亮.内部具有DSP音频处理，没有“噗噗”的低频冲击声；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2.主席单元具有计时发言功能 ，发言时间不受限制；</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3.代表机具有申请发言功能，可通过带屏或带“3”号键的主席单元同意申请，或者通过PC软件同意；</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4.内置高保真扬声器，并具有音量调节，具有抑制啸叫功能，当话筒打开时，内置的扬声器会自动关闭；</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5.具有3.5mm 立体声输出插座，可做录音及连接耳机用；</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6.声控模式下，主席单元和代表单元均可声控打开话筒且声控灵敏度可调节，代表话筒打开后，连续30秒（默认，此时间可设置）不说话则自动关闭话筒，主席不受此限制；</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7.具有5段EQ调节功能，可针对发言者的声音特点调节不同的音效，可达到完美的效果；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8.主席单元具备优先权功能，可关闭正在发言的所有代表话筒；</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9.采用100M网络传输，实现手拉手级联，长距离输对音质不会有任何影响；</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10.采用电容触摸按键，可有效杜绝按键敲击声，保障会场环境良好。</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会议代表单元</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1.话筒采用48KHz采样率，高于CD的音质,清晰明亮.内部具有DSP音频处理，没有“噗噗”的低频冲击声；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2.代表单元具有发言计时和定时发言功能；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3.代表机具有申请发言功能，可通过带屏或带“3”号键的主席单元同意申请，或者通过PC软件同意；</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4.内置高保真扬声器，并具有音量调节，具有抑制啸叫功能，当话筒打开时，内置的扬声器会自动关闭；</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5.具有3.5mm 立体声输出插座，可做录音及连接耳机用；</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6.声控模式下，主席单元和代表单元均可声控打开话筒且声控灵敏度可调节，代表话筒打开后，连续30秒（默认，此时间可设置）不说话则自动关闭话筒，主席不受此限制；</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 xml:space="preserve">7.具有5段EQ调节功能，可针对发言者的声音特点调节不同的音效，可达到完美的效果； </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8主席单元具备优先权功能，可关闭正在发言的所有代表话筒；</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9.采用100M网络传输，实现手拉手级联，长距离输对音质不会有任何影响；</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10.采用电容触摸按键，可有效杜绝按键敲击声，保障会场环境良好。</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技术参数：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1.扬声器内置有，并且可调音量</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2.频率响应80Hz-16KHz</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3.麦克风输入阻抗≥1KΩ</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4.灵敏度-46dBV/Pa</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5.最大SPL125dB（THD&gt;3%）</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6.信噪比&gt;80dB(A)</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连接线</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5米延长线（一公一母）</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根</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5</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连接线</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10米延长线（一公一母）</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根</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6</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连接线</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20米延长线（一公一母）</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根</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插座</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1、采用铝合金材料，独特的外观设计。</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2、防锈处理。</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3、美观实用。</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4、一进三出。</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5、采用100M 网络传输，可以实现手拉手级联。</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只</w:t>
            </w:r>
          </w:p>
        </w:tc>
      </w:tr>
      <w:tr>
        <w:tblPrEx>
          <w:tblCellMar>
            <w:top w:w="0" w:type="dxa"/>
            <w:left w:w="108" w:type="dxa"/>
            <w:bottom w:w="0" w:type="dxa"/>
            <w:right w:w="108" w:type="dxa"/>
          </w:tblCellMar>
        </w:tblPrEx>
        <w:trPr>
          <w:trHeight w:val="439" w:hRule="atLeast"/>
          <w:jc w:val="center"/>
        </w:trPr>
        <w:tc>
          <w:tcPr>
            <w:tcW w:w="963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D、信号处理系统</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1227" w:type="dxa"/>
            <w:tcBorders>
              <w:top w:val="nil"/>
              <w:left w:val="nil"/>
              <w:bottom w:val="single" w:color="auto" w:sz="8" w:space="0"/>
              <w:right w:val="single" w:color="auto" w:sz="8"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高清切换器</w:t>
            </w:r>
          </w:p>
        </w:tc>
        <w:tc>
          <w:tcPr>
            <w:tcW w:w="4910" w:type="dxa"/>
            <w:tcBorders>
              <w:top w:val="nil"/>
              <w:left w:val="nil"/>
              <w:bottom w:val="single" w:color="auto" w:sz="8" w:space="0"/>
              <w:right w:val="single" w:color="auto" w:sz="8"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HDMI高清切换器</w:t>
            </w:r>
          </w:p>
        </w:tc>
        <w:tc>
          <w:tcPr>
            <w:tcW w:w="1088"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绿联、itc、DISJBO、</w:t>
            </w:r>
          </w:p>
        </w:tc>
        <w:tc>
          <w:tcPr>
            <w:tcW w:w="850"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w:t>
            </w:r>
          </w:p>
        </w:tc>
        <w:tc>
          <w:tcPr>
            <w:tcW w:w="1227" w:type="dxa"/>
            <w:tcBorders>
              <w:top w:val="nil"/>
              <w:left w:val="nil"/>
              <w:bottom w:val="single" w:color="auto" w:sz="8" w:space="0"/>
              <w:right w:val="single" w:color="auto" w:sz="8"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高清分配器（一进十六出）</w:t>
            </w:r>
          </w:p>
        </w:tc>
        <w:tc>
          <w:tcPr>
            <w:tcW w:w="4910" w:type="dxa"/>
            <w:tcBorders>
              <w:top w:val="nil"/>
              <w:left w:val="nil"/>
              <w:bottom w:val="single" w:color="auto" w:sz="8" w:space="0"/>
              <w:right w:val="single" w:color="auto" w:sz="8"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HDMI一进十六出分配器</w:t>
            </w:r>
          </w:p>
        </w:tc>
        <w:tc>
          <w:tcPr>
            <w:tcW w:w="1088"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绿联、itc、DISJBO</w:t>
            </w:r>
          </w:p>
        </w:tc>
        <w:tc>
          <w:tcPr>
            <w:tcW w:w="850"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1227" w:type="dxa"/>
            <w:tcBorders>
              <w:top w:val="nil"/>
              <w:left w:val="nil"/>
              <w:bottom w:val="single" w:color="auto" w:sz="8" w:space="0"/>
              <w:right w:val="single" w:color="auto" w:sz="8"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HDMI分频器</w:t>
            </w:r>
          </w:p>
        </w:tc>
        <w:tc>
          <w:tcPr>
            <w:tcW w:w="4910" w:type="dxa"/>
            <w:tcBorders>
              <w:top w:val="nil"/>
              <w:left w:val="nil"/>
              <w:bottom w:val="single" w:color="auto" w:sz="8" w:space="0"/>
              <w:right w:val="single" w:color="auto" w:sz="8"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分离音频和视频</w:t>
            </w:r>
          </w:p>
        </w:tc>
        <w:tc>
          <w:tcPr>
            <w:tcW w:w="1088"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绿联、itc、DISJBO</w:t>
            </w:r>
          </w:p>
        </w:tc>
        <w:tc>
          <w:tcPr>
            <w:tcW w:w="850"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rPr>
          <w:trHeight w:val="439" w:hRule="atLeast"/>
          <w:jc w:val="center"/>
        </w:trPr>
        <w:tc>
          <w:tcPr>
            <w:tcW w:w="9634" w:type="dxa"/>
            <w:gridSpan w:val="6"/>
            <w:tcBorders>
              <w:top w:val="single" w:color="auto" w:sz="8" w:space="0"/>
              <w:left w:val="single" w:color="auto" w:sz="4" w:space="0"/>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E、无纸化系统</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无纸化一体式升降器</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1．带麦克风一体升降，话筒升降具有自动扶直功能，当麦杆弯曲时，机器关闭可自动扶直麦杆，不会损坏麦杆。</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2．设备采用全铝结构，优质铝材加上CNC精雕加工，显示屏框架、机箱都为铝合金使得设备整体精致、轻便、美观、大气。</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3．设备的表面处理为阳极氧化处理，色泽光亮。</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5．设备面板厚度仅为3mm，宽度仅70mm，占用空间小。</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6．15.6英寸超薄液晶触屏显示器，分辨率达1920*1080P，显示效果清晰亮丽，可调节背光设计，防止过亮或过暗引发疲劳感。</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7．支持HDMI和VGA两路信号输入，当只有一路信号输入时，屏幕会自动识别信号，当两路信号同时输入时，可通过面板按键手动切换，当无信号输入时，屏幕自动进入省电模式。</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8．设备可通过中控软件进行集中控制，可通过主机进行控制，一键可让室内所有的设备都上升或下降。</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9．内置环通输出电源插座，可给终端供电减少终端电源插座布线，工程现场布线更加整洁美观。</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技术参数：</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1．触摸屏：支持触摸</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2．升降时间：28S</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3．仰角角度：0-30°，完全符合人体工程学原理，又不遮挡视线和人脸</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4．机箱外型尺寸：540*60*647mm</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5．面板外型尺寸：555*70*3mm</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6．升降窗口尺寸：388*21.5mm</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7．屏幕尺寸：15.6"</w:t>
            </w:r>
            <w:r>
              <w:rPr>
                <w:rFonts w:hint="eastAsia" w:asciiTheme="minorEastAsia" w:hAnsiTheme="minorEastAsia" w:eastAsiaTheme="minorEastAsia" w:cstheme="minorEastAsia"/>
                <w:color w:val="000000"/>
                <w:kern w:val="0"/>
                <w:sz w:val="20"/>
                <w:szCs w:val="20"/>
              </w:rPr>
              <w:br w:type="textWrapping"/>
            </w:r>
            <w:r>
              <w:rPr>
                <w:rFonts w:hint="eastAsia" w:asciiTheme="minorEastAsia" w:hAnsiTheme="minorEastAsia" w:eastAsiaTheme="minorEastAsia" w:cstheme="minorEastAsia"/>
                <w:color w:val="000000"/>
                <w:kern w:val="0"/>
                <w:sz w:val="20"/>
                <w:szCs w:val="20"/>
              </w:rPr>
              <w:t>8．屏幕比例：16：9</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itc、DISJBO、crx</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台</w:t>
            </w:r>
          </w:p>
        </w:tc>
      </w:tr>
      <w:tr>
        <w:tblPrEx>
          <w:tblCellMar>
            <w:top w:w="0" w:type="dxa"/>
            <w:left w:w="108" w:type="dxa"/>
            <w:bottom w:w="0" w:type="dxa"/>
            <w:right w:w="108" w:type="dxa"/>
          </w:tblCellMar>
        </w:tblPrEx>
        <w:trPr>
          <w:trHeight w:val="439" w:hRule="atLeast"/>
          <w:jc w:val="center"/>
        </w:trPr>
        <w:tc>
          <w:tcPr>
            <w:tcW w:w="963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F、网络</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1227" w:type="dxa"/>
            <w:tcBorders>
              <w:top w:val="nil"/>
              <w:left w:val="nil"/>
              <w:bottom w:val="single" w:color="auto" w:sz="8"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交换机</w:t>
            </w:r>
          </w:p>
        </w:tc>
        <w:tc>
          <w:tcPr>
            <w:tcW w:w="4910" w:type="dxa"/>
            <w:tcBorders>
              <w:top w:val="nil"/>
              <w:left w:val="nil"/>
              <w:bottom w:val="single" w:color="auto" w:sz="8"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24口千兆交换机（上联口万兆，可网管，配光模块）</w:t>
            </w:r>
          </w:p>
        </w:tc>
        <w:tc>
          <w:tcPr>
            <w:tcW w:w="1088"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H3C、华为</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台</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w:t>
            </w:r>
          </w:p>
        </w:tc>
        <w:tc>
          <w:tcPr>
            <w:tcW w:w="1227" w:type="dxa"/>
            <w:tcBorders>
              <w:top w:val="nil"/>
              <w:left w:val="nil"/>
              <w:bottom w:val="single" w:color="auto" w:sz="8"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网络线</w:t>
            </w:r>
          </w:p>
        </w:tc>
        <w:tc>
          <w:tcPr>
            <w:tcW w:w="4910" w:type="dxa"/>
            <w:tcBorders>
              <w:top w:val="nil"/>
              <w:left w:val="nil"/>
              <w:bottom w:val="single" w:color="auto" w:sz="8"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六类屏蔽网络线</w:t>
            </w:r>
          </w:p>
        </w:tc>
        <w:tc>
          <w:tcPr>
            <w:tcW w:w="1088"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一舟、顺声、深奥</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批</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1227" w:type="dxa"/>
            <w:tcBorders>
              <w:top w:val="nil"/>
              <w:left w:val="nil"/>
              <w:bottom w:val="single" w:color="auto" w:sz="8"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光纤</w:t>
            </w:r>
          </w:p>
        </w:tc>
        <w:tc>
          <w:tcPr>
            <w:tcW w:w="4910" w:type="dxa"/>
            <w:tcBorders>
              <w:top w:val="nil"/>
              <w:left w:val="nil"/>
              <w:bottom w:val="single" w:color="auto" w:sz="8"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单模</w:t>
            </w:r>
          </w:p>
        </w:tc>
        <w:tc>
          <w:tcPr>
            <w:tcW w:w="1088"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国产</w:t>
            </w: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批</w:t>
            </w:r>
          </w:p>
        </w:tc>
      </w:tr>
      <w:tr>
        <w:tblPrEx>
          <w:tblCellMar>
            <w:top w:w="0" w:type="dxa"/>
            <w:left w:w="108" w:type="dxa"/>
            <w:bottom w:w="0" w:type="dxa"/>
            <w:right w:w="108" w:type="dxa"/>
          </w:tblCellMar>
        </w:tblPrEx>
        <w:trPr>
          <w:trHeight w:val="439" w:hRule="atLeast"/>
          <w:jc w:val="center"/>
        </w:trPr>
        <w:tc>
          <w:tcPr>
            <w:tcW w:w="963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G、辅助材料</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机柜</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1.2米机柜，前后网孔（黑色）</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国产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个</w:t>
            </w:r>
          </w:p>
        </w:tc>
      </w:tr>
      <w:tr>
        <w:tblPrEx>
          <w:tblCellMar>
            <w:top w:w="0" w:type="dxa"/>
            <w:left w:w="108" w:type="dxa"/>
            <w:bottom w:w="0" w:type="dxa"/>
            <w:right w:w="108" w:type="dxa"/>
          </w:tblCellMar>
        </w:tblPrEx>
        <w:trPr>
          <w:trHeight w:val="439"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2</w:t>
            </w:r>
          </w:p>
        </w:tc>
        <w:tc>
          <w:tcPr>
            <w:tcW w:w="1227"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辅材</w:t>
            </w:r>
          </w:p>
        </w:tc>
        <w:tc>
          <w:tcPr>
            <w:tcW w:w="491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配套</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国产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批</w:t>
            </w:r>
          </w:p>
        </w:tc>
      </w:tr>
    </w:tbl>
    <w:p>
      <w:pPr>
        <w:tabs>
          <w:tab w:val="left" w:pos="8931"/>
        </w:tabs>
        <w:snapToGrid w:val="0"/>
        <w:spacing w:line="360" w:lineRule="auto"/>
        <w:contextualSpacing/>
        <w:outlineLvl w:val="0"/>
        <w:rPr>
          <w:rFonts w:hint="eastAsia" w:asciiTheme="minorEastAsia" w:hAnsiTheme="minorEastAsia" w:eastAsiaTheme="minorEastAsia" w:cstheme="minorEastAsia"/>
          <w:b/>
          <w:color w:val="000000" w:themeColor="text1"/>
          <w:sz w:val="24"/>
        </w:rPr>
      </w:pPr>
    </w:p>
    <w:p>
      <w:pPr>
        <w:tabs>
          <w:tab w:val="left" w:pos="8931"/>
        </w:tabs>
        <w:snapToGrid w:val="0"/>
        <w:spacing w:line="360" w:lineRule="auto"/>
        <w:contextualSpacing/>
        <w:outlineLvl w:val="0"/>
        <w:rPr>
          <w:rFonts w:hint="eastAsia"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24"/>
        </w:rPr>
        <w:t>五、设备清单的说明</w:t>
      </w:r>
    </w:p>
    <w:p>
      <w:pPr>
        <w:pStyle w:val="28"/>
        <w:widowControl/>
        <w:numPr>
          <w:ilvl w:val="0"/>
          <w:numId w:val="4"/>
        </w:numPr>
        <w:adjustRightInd w:val="0"/>
        <w:spacing w:line="400" w:lineRule="exact"/>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本项目不接受负偏离应标。</w:t>
      </w:r>
    </w:p>
    <w:p>
      <w:pPr>
        <w:pStyle w:val="28"/>
        <w:widowControl/>
        <w:numPr>
          <w:ilvl w:val="0"/>
          <w:numId w:val="4"/>
        </w:numPr>
        <w:adjustRightInd w:val="0"/>
        <w:spacing w:line="400" w:lineRule="exact"/>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为保证系统的兼容与稳定，扩声系统、数字会议系统、无纸化系统须为统一品牌。</w:t>
      </w:r>
    </w:p>
    <w:p>
      <w:pPr>
        <w:pStyle w:val="28"/>
        <w:numPr>
          <w:ilvl w:val="0"/>
          <w:numId w:val="4"/>
        </w:numPr>
        <w:spacing w:line="360" w:lineRule="auto"/>
        <w:ind w:firstLineChars="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项目中的建议品牌，是建议所采购产品（设备）的档次。投标供应商可以选择建议品牌，也可以选择建议品牌以外的品牌，但所选品牌档次须等于或高于建议品牌档次。当三分之二评委认定，所选品牌档次低于建议品牌档次的，将作无效响应处理。投标供应商的自我阐述及宣传彩页等不作采信依据。投标人提供非建议品牌产品投标的，甲方有权在成交前要求投标人提供相关设备进行现场检测，以确保满足投标人的使用功能需。</w:t>
      </w:r>
    </w:p>
    <w:p>
      <w:pPr>
        <w:pStyle w:val="28"/>
        <w:numPr>
          <w:ilvl w:val="0"/>
          <w:numId w:val="4"/>
        </w:numPr>
        <w:spacing w:line="360" w:lineRule="auto"/>
        <w:ind w:firstLineChars="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本项目中，采购人提供的产品品牌（含技术参数）要求，如有排它性指标，则该指标不作强制性要求，投标人可以自行调整，但须保证技术参数无偏离或正偏离，同时还必须提供以下材料：</w:t>
      </w:r>
    </w:p>
    <w:p>
      <w:pPr>
        <w:snapToGrid w:val="0"/>
        <w:spacing w:line="480" w:lineRule="exact"/>
        <w:outlineLvl w:val="1"/>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w:t>
      </w:r>
      <w:bookmarkStart w:id="6" w:name="_Toc26954744"/>
      <w:r>
        <w:rPr>
          <w:rFonts w:hint="eastAsia" w:asciiTheme="minorEastAsia" w:hAnsiTheme="minorEastAsia" w:eastAsiaTheme="minorEastAsia" w:cstheme="minorEastAsia"/>
          <w:bCs/>
          <w:szCs w:val="21"/>
        </w:rPr>
        <w:t>（1）指标排它性的证明材料；</w:t>
      </w:r>
      <w:bookmarkEnd w:id="6"/>
    </w:p>
    <w:p>
      <w:pPr>
        <w:snapToGrid w:val="0"/>
        <w:spacing w:line="480" w:lineRule="exact"/>
        <w:outlineLvl w:val="1"/>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w:t>
      </w:r>
      <w:bookmarkStart w:id="7" w:name="_Toc26954745"/>
      <w:r>
        <w:rPr>
          <w:rFonts w:hint="eastAsia" w:asciiTheme="minorEastAsia" w:hAnsiTheme="minorEastAsia" w:eastAsiaTheme="minorEastAsia" w:cstheme="minorEastAsia"/>
          <w:bCs/>
          <w:szCs w:val="21"/>
        </w:rPr>
        <w:t>（2）产品调整对比表；</w:t>
      </w:r>
      <w:bookmarkEnd w:id="7"/>
      <w:r>
        <w:rPr>
          <w:rFonts w:hint="eastAsia" w:asciiTheme="minorEastAsia" w:hAnsiTheme="minorEastAsia" w:eastAsiaTheme="minorEastAsia" w:cstheme="minorEastAsia"/>
          <w:bCs/>
          <w:szCs w:val="21"/>
        </w:rPr>
        <w:t xml:space="preserve">  </w:t>
      </w:r>
    </w:p>
    <w:p>
      <w:pPr>
        <w:snapToGrid w:val="0"/>
        <w:spacing w:line="480" w:lineRule="exact"/>
        <w:outlineLvl w:val="1"/>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rPr>
        <w:t xml:space="preserve">   </w:t>
      </w:r>
      <w:bookmarkStart w:id="8" w:name="_Toc26954746"/>
      <w:r>
        <w:rPr>
          <w:rFonts w:hint="eastAsia"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highlight w:val="none"/>
        </w:rPr>
        <w:t>）调整后产品的详细技术参数；</w:t>
      </w:r>
      <w:bookmarkEnd w:id="8"/>
    </w:p>
    <w:p>
      <w:pPr>
        <w:snapToGrid w:val="0"/>
        <w:spacing w:line="480" w:lineRule="exact"/>
        <w:outlineLvl w:val="1"/>
        <w:rPr>
          <w:rFonts w:hint="eastAsia"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bCs/>
          <w:szCs w:val="21"/>
          <w:highlight w:val="none"/>
        </w:rPr>
        <w:t xml:space="preserve">   </w:t>
      </w:r>
      <w:bookmarkStart w:id="9" w:name="_Toc26954747"/>
      <w:r>
        <w:rPr>
          <w:rFonts w:hint="eastAsia" w:asciiTheme="minorEastAsia" w:hAnsiTheme="minorEastAsia" w:eastAsiaTheme="minorEastAsia" w:cstheme="minorEastAsia"/>
          <w:bCs/>
          <w:szCs w:val="21"/>
          <w:highlight w:val="none"/>
        </w:rPr>
        <w:t>（4）提供新参数的生产制造商证明文件：①由相关机构出具的检测报告；②</w:t>
      </w:r>
      <w:r>
        <w:rPr>
          <w:rFonts w:hint="eastAsia" w:asciiTheme="minorEastAsia" w:hAnsiTheme="minorEastAsia" w:eastAsiaTheme="minorEastAsia" w:cstheme="minorEastAsia"/>
          <w:bCs/>
          <w:szCs w:val="21"/>
          <w:highlight w:val="none"/>
          <w:lang w:eastAsia="zh-CN"/>
        </w:rPr>
        <w:t>产品使用说明</w:t>
      </w:r>
      <w:r>
        <w:rPr>
          <w:rFonts w:hint="eastAsia" w:asciiTheme="minorEastAsia" w:hAnsiTheme="minorEastAsia" w:eastAsiaTheme="minorEastAsia" w:cstheme="minorEastAsia"/>
          <w:bCs/>
          <w:szCs w:val="21"/>
          <w:highlight w:val="none"/>
        </w:rPr>
        <w:t>；且①②项的复印件必须加盖厂家红章。</w:t>
      </w:r>
      <w:bookmarkEnd w:id="9"/>
    </w:p>
    <w:p>
      <w:pPr>
        <w:snapToGrid w:val="0"/>
        <w:spacing w:line="480" w:lineRule="exact"/>
        <w:outlineLvl w:val="1"/>
        <w:rPr>
          <w:rFonts w:hint="eastAsia" w:asciiTheme="minorEastAsia" w:hAnsiTheme="minorEastAsia" w:eastAsiaTheme="minorEastAsia" w:cstheme="minorEastAsia"/>
          <w:bCs/>
          <w:szCs w:val="21"/>
        </w:rPr>
      </w:pPr>
    </w:p>
    <w:p>
      <w:pPr>
        <w:tabs>
          <w:tab w:val="left" w:pos="5325"/>
        </w:tabs>
        <w:snapToGrid w:val="0"/>
        <w:spacing w:line="300" w:lineRule="auto"/>
        <w:contextualSpacing/>
        <w:rPr>
          <w:rFonts w:hint="eastAsia"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b/>
          <w:color w:val="000000" w:themeColor="text1"/>
          <w:sz w:val="24"/>
          <w:szCs w:val="24"/>
          <w:lang w:eastAsia="zh-CN"/>
        </w:rPr>
        <w:t>六</w:t>
      </w:r>
      <w:r>
        <w:rPr>
          <w:rFonts w:hint="eastAsia" w:asciiTheme="minorEastAsia" w:hAnsiTheme="minorEastAsia" w:eastAsiaTheme="minorEastAsia" w:cstheme="minorEastAsia"/>
          <w:b/>
          <w:color w:val="000000" w:themeColor="text1"/>
          <w:sz w:val="24"/>
          <w:szCs w:val="24"/>
        </w:rPr>
        <w:t>、其他</w:t>
      </w:r>
    </w:p>
    <w:p>
      <w:pPr>
        <w:snapToGrid w:val="0"/>
        <w:spacing w:line="400" w:lineRule="exact"/>
        <w:ind w:left="-359" w:leftChars="-171" w:right="-514" w:rightChars="-245" w:firstLine="716" w:firstLineChars="2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sz w:val="24"/>
          <w:szCs w:val="24"/>
        </w:rPr>
        <w:t>中标后签订合同前，投标供应商需提供本次所投扩声、数字会议、无纸化系统品牌质保函原件和所提供的认证证书复印件（加盖厂商公章），若不提供，招标人有权拒绝签订合同。</w:t>
      </w:r>
    </w:p>
    <w:p>
      <w:pPr>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2、</w:t>
      </w:r>
      <w:r>
        <w:rPr>
          <w:rFonts w:hint="eastAsia" w:asciiTheme="minorEastAsia" w:hAnsiTheme="minorEastAsia" w:eastAsiaTheme="minorEastAsia" w:cstheme="minorEastAsia"/>
          <w:sz w:val="24"/>
          <w:szCs w:val="24"/>
        </w:rPr>
        <w:t>投标供应商应按照招标文件分别报价（明细清单、总报价单）。供应商应充分评估实际环境对材料设备数量及施工量的影响，并在总价中考虑相关费用。</w:t>
      </w:r>
    </w:p>
    <w:p>
      <w:pPr>
        <w:widowControl/>
        <w:shd w:val="clear" w:color="auto" w:fill="FFFFFF"/>
        <w:snapToGrid w:val="0"/>
        <w:spacing w:line="560" w:lineRule="exact"/>
        <w:ind w:firstLine="482"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3、签定合同日期：</w:t>
      </w:r>
      <w:r>
        <w:rPr>
          <w:rFonts w:hint="eastAsia" w:asciiTheme="minorEastAsia" w:hAnsiTheme="minorEastAsia" w:eastAsiaTheme="minorEastAsia" w:cstheme="minorEastAsia"/>
          <w:sz w:val="24"/>
          <w:szCs w:val="24"/>
        </w:rPr>
        <w:t>自中标（成交）通知书发出之日起5个工作日内按时签约。</w:t>
      </w:r>
    </w:p>
    <w:p>
      <w:pPr>
        <w:widowControl/>
        <w:shd w:val="clear" w:color="auto" w:fill="FFFFFF"/>
        <w:snapToGrid w:val="0"/>
        <w:spacing w:line="560" w:lineRule="exact"/>
        <w:ind w:firstLine="482"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4、交货期：</w:t>
      </w:r>
      <w:r>
        <w:rPr>
          <w:rFonts w:hint="eastAsia" w:asciiTheme="minorEastAsia" w:hAnsiTheme="minorEastAsia" w:eastAsiaTheme="minorEastAsia" w:cstheme="minorEastAsia"/>
          <w:sz w:val="24"/>
          <w:szCs w:val="24"/>
        </w:rPr>
        <w:t xml:space="preserve"> 自合同签定之后，装修具备条件起60天内施工完成。</w:t>
      </w:r>
    </w:p>
    <w:p>
      <w:pPr>
        <w:widowControl/>
        <w:shd w:val="clear" w:color="auto" w:fill="FFFFFF"/>
        <w:snapToGrid w:val="0"/>
        <w:spacing w:line="560" w:lineRule="exact"/>
        <w:ind w:firstLine="482" w:firstLineChars="200"/>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5、交货地点：</w:t>
      </w:r>
      <w:r>
        <w:rPr>
          <w:rFonts w:hint="eastAsia" w:asciiTheme="minorEastAsia" w:hAnsiTheme="minorEastAsia" w:eastAsiaTheme="minorEastAsia" w:cstheme="minorEastAsia"/>
          <w:sz w:val="24"/>
          <w:szCs w:val="24"/>
        </w:rPr>
        <w:t>南通市人民检察院。</w:t>
      </w:r>
    </w:p>
    <w:p>
      <w:pPr>
        <w:widowControl/>
        <w:shd w:val="clear" w:color="auto" w:fill="FFFFFF"/>
        <w:snapToGrid w:val="0"/>
        <w:spacing w:line="560" w:lineRule="exact"/>
        <w:ind w:firstLine="482" w:firstLineChars="200"/>
        <w:contextualSpacing/>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rPr>
        <w:t>6、</w:t>
      </w:r>
      <w:r>
        <w:rPr>
          <w:rFonts w:hint="eastAsia" w:asciiTheme="minorEastAsia" w:hAnsiTheme="minorEastAsia" w:eastAsiaTheme="minorEastAsia" w:cstheme="minorEastAsia"/>
          <w:b/>
          <w:sz w:val="24"/>
          <w:szCs w:val="24"/>
          <w:lang w:val="zh-CN"/>
        </w:rPr>
        <w:t>质保期限</w:t>
      </w:r>
      <w:r>
        <w:rPr>
          <w:rFonts w:hint="eastAsia" w:asciiTheme="minorEastAsia" w:hAnsiTheme="minorEastAsia" w:eastAsiaTheme="minorEastAsia" w:cstheme="minorEastAsia"/>
          <w:sz w:val="24"/>
          <w:szCs w:val="24"/>
        </w:rPr>
        <w:t>：三年质保。</w:t>
      </w:r>
    </w:p>
    <w:p>
      <w:pPr>
        <w:tabs>
          <w:tab w:val="left" w:pos="5325"/>
        </w:tabs>
        <w:snapToGrid w:val="0"/>
        <w:spacing w:line="56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7、验收和付款要求：</w:t>
      </w:r>
      <w:r>
        <w:rPr>
          <w:rFonts w:hint="eastAsia" w:asciiTheme="minorEastAsia" w:hAnsiTheme="minorEastAsia" w:eastAsiaTheme="minorEastAsia" w:cstheme="minorEastAsia"/>
          <w:sz w:val="24"/>
          <w:szCs w:val="24"/>
        </w:rPr>
        <w:t>在接到供应商以书面形式提出验收申请后，在5个工作日内及时组织相关专业技术人员，必要时邀请采购中心、质检等部门共同参与验收，并出具验收报告，作为支付货款的依据。</w:t>
      </w:r>
    </w:p>
    <w:p>
      <w:pPr>
        <w:snapToGrid w:val="0"/>
        <w:spacing w:line="5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b w:val="0"/>
          <w:bCs/>
          <w:sz w:val="24"/>
          <w:szCs w:val="24"/>
          <w:highlight w:val="none"/>
          <w:lang w:val="en-US" w:eastAsia="zh-CN"/>
        </w:rPr>
        <w:t>所有设备送到现场，初验合格后支付合同总价的50%；安装调试完毕</w:t>
      </w:r>
      <w:r>
        <w:rPr>
          <w:rFonts w:hint="eastAsia" w:ascii="宋体" w:hAnsi="宋体" w:eastAsia="宋体" w:cs="宋体"/>
          <w:color w:val="000000"/>
          <w:sz w:val="24"/>
          <w:szCs w:val="24"/>
          <w:highlight w:val="none"/>
        </w:rPr>
        <w:t>验收合格后，支付合同</w:t>
      </w:r>
      <w:r>
        <w:rPr>
          <w:rFonts w:hint="eastAsia" w:ascii="宋体" w:hAnsi="宋体" w:cs="宋体"/>
          <w:color w:val="000000"/>
          <w:sz w:val="24"/>
          <w:szCs w:val="24"/>
          <w:highlight w:val="none"/>
          <w:lang w:eastAsia="zh-CN"/>
        </w:rPr>
        <w:t>价</w:t>
      </w:r>
      <w:r>
        <w:rPr>
          <w:rFonts w:hint="eastAsia" w:ascii="宋体" w:hAnsi="宋体" w:eastAsia="宋体" w:cs="宋体"/>
          <w:color w:val="000000"/>
          <w:sz w:val="24"/>
          <w:szCs w:val="24"/>
          <w:highlight w:val="none"/>
        </w:rPr>
        <w:t>的</w:t>
      </w:r>
      <w:r>
        <w:rPr>
          <w:rFonts w:hint="eastAsia" w:ascii="宋体" w:hAnsi="宋体" w:cs="宋体"/>
          <w:color w:val="000000"/>
          <w:sz w:val="24"/>
          <w:szCs w:val="24"/>
          <w:highlight w:val="none"/>
          <w:lang w:val="en-US" w:eastAsia="zh-CN"/>
        </w:rPr>
        <w:t>45</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eastAsia="zh-CN"/>
        </w:rPr>
        <w:t>余款质保期结束后付清</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以上付款均不计利息。</w:t>
      </w:r>
    </w:p>
    <w:p>
      <w:pPr>
        <w:tabs>
          <w:tab w:val="left" w:pos="5325"/>
        </w:tabs>
        <w:snapToGrid w:val="0"/>
        <w:spacing w:line="560" w:lineRule="exact"/>
        <w:ind w:firstLine="482" w:firstLineChars="200"/>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8、售后服务及其他</w:t>
      </w:r>
    </w:p>
    <w:p>
      <w:pPr>
        <w:tabs>
          <w:tab w:val="left" w:pos="5325"/>
        </w:tabs>
        <w:snapToGrid w:val="0"/>
        <w:spacing w:line="560" w:lineRule="exact"/>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须提供安装、调试、培训、维护等服务，所有设备质保期内免费维护维修及技术支持，保修期以外提供免费维护和技术支持，维修只收材料成本费。设备发生故障时，接到用户通知需4小时内上门，8小时内解决问题。</w:t>
      </w:r>
    </w:p>
    <w:p>
      <w:pPr>
        <w:snapToGrid w:val="0"/>
        <w:spacing w:before="332" w:after="332"/>
        <w:jc w:val="center"/>
        <w:outlineLvl w:val="1"/>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iCs/>
          <w:w w:val="80"/>
          <w:sz w:val="44"/>
          <w:szCs w:val="44"/>
        </w:rPr>
        <w:br w:type="page"/>
      </w:r>
    </w:p>
    <w:p>
      <w:pPr>
        <w:snapToGrid w:val="0"/>
        <w:spacing w:before="332" w:after="332"/>
        <w:jc w:val="center"/>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iCs/>
          <w:w w:val="80"/>
          <w:sz w:val="44"/>
          <w:szCs w:val="44"/>
        </w:rPr>
        <w:t xml:space="preserve">第四章  </w:t>
      </w:r>
      <w:bookmarkStart w:id="10" w:name="_Toc38121794"/>
      <w:bookmarkStart w:id="11" w:name="_Toc43217893"/>
      <w:bookmarkStart w:id="12" w:name="_Toc182848996"/>
      <w:bookmarkStart w:id="13" w:name="_Toc37322565"/>
      <w:bookmarkStart w:id="14" w:name="_Toc85627670"/>
      <w:r>
        <w:rPr>
          <w:rFonts w:hint="eastAsia" w:asciiTheme="minorEastAsia" w:hAnsiTheme="minorEastAsia" w:eastAsiaTheme="minorEastAsia" w:cstheme="minorEastAsia"/>
          <w:b/>
          <w:iCs/>
          <w:w w:val="80"/>
          <w:sz w:val="44"/>
          <w:szCs w:val="44"/>
        </w:rPr>
        <w:t>评审方法和程序</w:t>
      </w:r>
    </w:p>
    <w:bookmarkEnd w:id="10"/>
    <w:bookmarkEnd w:id="11"/>
    <w:bookmarkEnd w:id="12"/>
    <w:bookmarkEnd w:id="13"/>
    <w:bookmarkEnd w:id="14"/>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bookmarkStart w:id="15" w:name="_Toc363573857"/>
      <w:bookmarkEnd w:id="15"/>
      <w:r>
        <w:rPr>
          <w:rFonts w:hint="eastAsia" w:asciiTheme="minorEastAsia" w:hAnsiTheme="minorEastAsia" w:eastAsiaTheme="minorEastAsia" w:cstheme="minorEastAsia"/>
          <w:b/>
          <w:sz w:val="24"/>
          <w:szCs w:val="24"/>
        </w:rPr>
        <w:t>一、代理机构组织磋商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1、本次竞争性磋商依据《中华人民共和国政府采购法》、《政府采购竞争性磋商采购方式管理暂行办法》及有关法规成立磋商小组。磋商小组由采购人代表和评审专家共3人及以上单数组成。</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2、磋商小组的职责：</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（1）磋商小组成员应当按照客观、公正、审慎的原则，根据磋商文件规定的评审程序、评审方法和评审标准进行独立评审。</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（2）磋商小组成员应当遵守评审工作纪律，不得泄露评审情况和评审中获悉的商业秘密，对个人的评审意见承担法律责任；</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（3）磋商小组成员在评审过程中发现供应商有行贿、提供虚假材料或者串通等违法行为的，应当及时向财政部门报告。</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（4）磋商小组成员在评审过程中受到非法干涉的，应当及时向财政、监察等部门举报。</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（5）配合采购单位答复供应商提出的质疑；配合财政部门的投诉处理和监督检查工作。</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3、评审有关记录由磋商小组成员签名，存档备查。</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4、供应商的法定代表人或被授权人须持身份证准时参加磋商开标会。</w:t>
      </w:r>
    </w:p>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二、磋商的原则及方法</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52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520" w:lineRule="exact"/>
        <w:ind w:firstLine="484"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4、磋商小组所有成员应当集中与单一供应商分别进行磋商，并给予所有参加磋商的供应商平等的磋商机会。</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6、对磋商文件作出的实质性变动是磋商文件的有效组成部分，磋商小组应当及时以书面形式同时通知所有参加磋商的供应商。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7、供应商应当按照磋商文件的变动情况和磋商小组的要求重新提交响应文件，并由其法定代表人或被授权人签字或者加盖公章。由被授权人签字的，应当附法定代表人授权书。</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10、除非在磋商中磋商小组对采购单位需求内容作了调整增加，或对采购内容作了实质性变更，否则</w:t>
      </w:r>
      <w:r>
        <w:rPr>
          <w:rFonts w:hint="eastAsia" w:asciiTheme="minorEastAsia" w:hAnsiTheme="minorEastAsia" w:eastAsiaTheme="minorEastAsia" w:cstheme="minorEastAsia"/>
          <w:b/>
          <w:sz w:val="24"/>
          <w:szCs w:val="24"/>
        </w:rPr>
        <w:t>采购单位不接受供应商高于自己前一轮的磋商报价</w:t>
      </w:r>
      <w:r>
        <w:rPr>
          <w:rFonts w:hint="eastAsia" w:asciiTheme="minorEastAsia" w:hAnsiTheme="minorEastAsia" w:eastAsiaTheme="minorEastAsia" w:cstheme="minorEastAsia"/>
          <w:sz w:val="24"/>
          <w:szCs w:val="24"/>
        </w:rPr>
        <w:t>。</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11、对于在磋商顺利开始后至最终报价前，根据磋商情况退出磋商的供应商，须以书面形式说明退出磋商的原因，经磋商小组同意可以退出磋商。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12、在磋商中，磋商的任何一方不得透露与磋商有关的其他响应磋商的供应商的技术资料、价格及其他信息。</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13、单位负责人为同一人或者存在直接控股、管理关系的不同供应商，都不得在同一采购项目相同标段中同时参加磋商，一经发现，将视同围标处理。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b/>
          <w:bCs/>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52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三、磋商评定结果的方法</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b/>
          <w:sz w:val="24"/>
          <w:szCs w:val="24"/>
          <w:u w:val="single"/>
        </w:rPr>
        <w:t>经磋商确定最终采购需求和提交最后报价的供应商后，</w:t>
      </w:r>
      <w:r>
        <w:rPr>
          <w:rFonts w:hint="eastAsia" w:asciiTheme="minorEastAsia" w:hAnsiTheme="minorEastAsia" w:eastAsiaTheme="minorEastAsia" w:cstheme="minorEastAsia"/>
          <w:sz w:val="24"/>
          <w:szCs w:val="24"/>
        </w:rPr>
        <w:t>由磋商小组采用综合评分法</w:t>
      </w:r>
      <w:r>
        <w:rPr>
          <w:rFonts w:hint="eastAsia" w:asciiTheme="minorEastAsia" w:hAnsiTheme="minorEastAsia" w:eastAsiaTheme="minorEastAsia" w:cstheme="minorEastAsia"/>
          <w:b/>
          <w:sz w:val="24"/>
          <w:szCs w:val="24"/>
          <w:u w:val="single"/>
        </w:rPr>
        <w:t>对提交最后报价的供应商的响应文件和最后报价</w:t>
      </w:r>
      <w:r>
        <w:rPr>
          <w:rFonts w:hint="eastAsia" w:asciiTheme="minorEastAsia" w:hAnsiTheme="minorEastAsia" w:eastAsiaTheme="minorEastAsia" w:cstheme="minorEastAsia"/>
          <w:sz w:val="24"/>
          <w:szCs w:val="24"/>
        </w:rPr>
        <w:t>进行综合评分。</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2、评审时，磋商小组各成员应当独立对每个有效响应的文件进行评价、打分，然后汇总每个供应商每项评分因素的得分（计算结果均四舍五入保留两位小数）。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3、本次项目磋商的技术和商务报价评审总分值为100分。两部分评审因素比重如下： </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技术分值占总分值的比重为</w:t>
      </w:r>
      <w:r>
        <w:rPr>
          <w:rFonts w:hint="eastAsia" w:asciiTheme="minorEastAsia" w:hAnsiTheme="minorEastAsia" w:eastAsiaTheme="minorEastAsia" w:cstheme="minorEastAsia"/>
          <w:b/>
          <w:sz w:val="24"/>
          <w:szCs w:val="24"/>
          <w:u w:val="single"/>
          <w:lang w:val="en-US" w:eastAsia="zh-CN"/>
        </w:rPr>
        <w:t>7</w:t>
      </w:r>
      <w:r>
        <w:rPr>
          <w:rFonts w:hint="eastAsia" w:asciiTheme="minorEastAsia" w:hAnsiTheme="minorEastAsia" w:eastAsiaTheme="minorEastAsia" w:cstheme="minorEastAsia"/>
          <w:b/>
          <w:sz w:val="24"/>
          <w:szCs w:val="24"/>
          <w:u w:val="single"/>
        </w:rPr>
        <w:t>0%（权重）</w:t>
      </w:r>
      <w:r>
        <w:rPr>
          <w:rFonts w:hint="eastAsia" w:asciiTheme="minorEastAsia" w:hAnsiTheme="minorEastAsia" w:eastAsiaTheme="minorEastAsia" w:cstheme="minorEastAsia"/>
          <w:sz w:val="24"/>
          <w:szCs w:val="24"/>
        </w:rPr>
        <w:t>（四舍五入保留两位小数）；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商务报价分值占总分值的比重为</w:t>
      </w:r>
      <w:r>
        <w:rPr>
          <w:rFonts w:hint="eastAsia" w:asciiTheme="minorEastAsia" w:hAnsiTheme="minorEastAsia" w:eastAsiaTheme="minorEastAsia" w:cstheme="minorEastAsia"/>
          <w:b/>
          <w:sz w:val="24"/>
          <w:szCs w:val="24"/>
          <w:u w:val="single"/>
          <w:lang w:val="en-US" w:eastAsia="zh-CN"/>
        </w:rPr>
        <w:t>3</w:t>
      </w:r>
      <w:r>
        <w:rPr>
          <w:rFonts w:hint="eastAsia" w:asciiTheme="minorEastAsia" w:hAnsiTheme="minorEastAsia" w:eastAsiaTheme="minorEastAsia" w:cstheme="minorEastAsia"/>
          <w:b/>
          <w:sz w:val="24"/>
          <w:szCs w:val="24"/>
          <w:u w:val="single"/>
        </w:rPr>
        <w:t xml:space="preserve">0%（权重） </w:t>
      </w:r>
      <w:r>
        <w:rPr>
          <w:rFonts w:hint="eastAsia" w:asciiTheme="minorEastAsia" w:hAnsiTheme="minorEastAsia" w:eastAsiaTheme="minorEastAsia" w:cstheme="minorEastAsia"/>
          <w:sz w:val="24"/>
          <w:szCs w:val="24"/>
        </w:rPr>
        <w:t>（四舍五入保留两位小数）。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4、技术分按算术平均值计算，分值四舍五入保留两位小数。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5、商务报价分统一采用低价优先法计算直接取得，与技术分相加为供应商的综合得分（四舍五入保留两位小数）。</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6、综合得分最高的供应商推荐为项目预成交人并出具评审磋商报告。</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7、确定成交候选人的特殊情况处理： </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（1）若总分相同，则按最终报价响应得分高者优先中标。</w:t>
      </w:r>
    </w:p>
    <w:p>
      <w:pPr>
        <w:snapToGrid w:val="0"/>
        <w:spacing w:line="520" w:lineRule="exact"/>
        <w:ind w:firstLine="480" w:firstLineChars="2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（2）若总分且最终报价响应得分相同，则采取现场抽签的方式确定（投标供应商的抽签顺序分别为各投标供应商递交响应文件签到顺序号）。</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8、磋商评审时，评委对评审的细则若有争议，由磋商小组集体讨论确定，并对未尽情况有最终解释权。</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9、对落标的供应商不做落标原因的解释。</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四、综合评分评审标准</w:t>
      </w:r>
    </w:p>
    <w:p>
      <w:pPr>
        <w:numPr>
          <w:ilvl w:val="0"/>
          <w:numId w:val="5"/>
        </w:numPr>
        <w:snapToGrid w:val="0"/>
        <w:spacing w:line="480" w:lineRule="exact"/>
        <w:ind w:firstLine="484" w:firstLineChars="202"/>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技术分：（</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0分）</w:t>
      </w:r>
    </w:p>
    <w:tbl>
      <w:tblPr>
        <w:tblStyle w:val="20"/>
        <w:tblpPr w:leftFromText="180" w:rightFromText="180" w:vertAnchor="text" w:horzAnchor="page" w:tblpX="1818" w:tblpY="474"/>
        <w:tblOverlap w:val="never"/>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评分因素</w:t>
            </w:r>
          </w:p>
        </w:tc>
        <w:tc>
          <w:tcPr>
            <w:tcW w:w="7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419"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技术参数及优化建议</w:t>
            </w:r>
          </w:p>
          <w:p>
            <w:pPr>
              <w:spacing w:line="360" w:lineRule="auto"/>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szCs w:val="21"/>
                <w:highlight w:val="none"/>
              </w:rPr>
              <w:t>（</w:t>
            </w:r>
            <w:r>
              <w:rPr>
                <w:rFonts w:hint="eastAsia" w:asciiTheme="minorEastAsia" w:hAnsiTheme="minorEastAsia" w:eastAsiaTheme="minorEastAsia" w:cstheme="minorEastAsia"/>
                <w:color w:val="000000"/>
                <w:szCs w:val="21"/>
                <w:highlight w:val="none"/>
                <w:lang w:val="en-US" w:eastAsia="zh-CN"/>
              </w:rPr>
              <w:t>45</w:t>
            </w:r>
            <w:r>
              <w:rPr>
                <w:rFonts w:hint="eastAsia" w:asciiTheme="minorEastAsia" w:hAnsiTheme="minorEastAsia" w:eastAsiaTheme="minorEastAsia" w:cstheme="minorEastAsia"/>
                <w:color w:val="000000"/>
                <w:szCs w:val="21"/>
                <w:highlight w:val="none"/>
              </w:rPr>
              <w:t>分）</w:t>
            </w:r>
          </w:p>
        </w:tc>
        <w:tc>
          <w:tcPr>
            <w:tcW w:w="7593" w:type="dxa"/>
            <w:tcBorders>
              <w:top w:val="single" w:color="auto" w:sz="4" w:space="0"/>
              <w:left w:val="single" w:color="auto" w:sz="4" w:space="0"/>
              <w:bottom w:val="single" w:color="auto" w:sz="4" w:space="0"/>
              <w:right w:val="single" w:color="auto" w:sz="4" w:space="0"/>
            </w:tcBorders>
            <w:vAlign w:val="center"/>
          </w:tcPr>
          <w:p>
            <w:pPr>
              <w:numPr>
                <w:ilvl w:val="0"/>
                <w:numId w:val="6"/>
              </w:numPr>
              <w:autoSpaceDE w:val="0"/>
              <w:autoSpaceDN w:val="0"/>
              <w:adjustRightInd w:val="0"/>
              <w:spacing w:line="240" w:lineRule="exact"/>
              <w:rPr>
                <w:rFonts w:ascii="宋体" w:hAnsi="宋体" w:cs="宋体"/>
                <w:kern w:val="0"/>
                <w:szCs w:val="21"/>
                <w:highlight w:val="none"/>
              </w:rPr>
            </w:pPr>
            <w:r>
              <w:rPr>
                <w:rFonts w:hint="eastAsia" w:ascii="宋体" w:hAnsi="宋体" w:cs="宋体"/>
                <w:kern w:val="0"/>
                <w:szCs w:val="21"/>
                <w:highlight w:val="none"/>
              </w:rPr>
              <w:t>设备技术参数：</w:t>
            </w:r>
          </w:p>
          <w:p>
            <w:pPr>
              <w:autoSpaceDE w:val="0"/>
              <w:autoSpaceDN w:val="0"/>
              <w:adjustRightInd w:val="0"/>
              <w:spacing w:line="240" w:lineRule="exact"/>
              <w:rPr>
                <w:rFonts w:asciiTheme="minorEastAsia" w:hAnsiTheme="minorEastAsia" w:eastAsiaTheme="minorEastAsia" w:cstheme="minorEastAsia"/>
                <w:color w:val="000000"/>
                <w:szCs w:val="21"/>
                <w:highlight w:val="none"/>
              </w:rPr>
            </w:pPr>
            <w:r>
              <w:rPr>
                <w:rFonts w:hint="eastAsia" w:ascii="宋体" w:hAnsi="宋体" w:cs="宋体"/>
                <w:kern w:val="0"/>
                <w:szCs w:val="21"/>
                <w:highlight w:val="none"/>
              </w:rPr>
              <w:t>投标设备的技术参数符合招标要求的得</w:t>
            </w:r>
            <w:r>
              <w:rPr>
                <w:rFonts w:hint="eastAsia" w:ascii="宋体" w:hAnsi="宋体" w:cs="宋体"/>
                <w:kern w:val="0"/>
                <w:szCs w:val="21"/>
                <w:highlight w:val="none"/>
                <w:lang w:val="en-US" w:eastAsia="zh-CN"/>
              </w:rPr>
              <w:t>20</w:t>
            </w:r>
            <w:r>
              <w:rPr>
                <w:rFonts w:hint="eastAsia" w:ascii="宋体" w:hAnsi="宋体" w:cs="宋体"/>
                <w:kern w:val="0"/>
                <w:szCs w:val="21"/>
                <w:highlight w:val="none"/>
              </w:rPr>
              <w:t>分；</w:t>
            </w:r>
            <w:r>
              <w:rPr>
                <w:rFonts w:hint="eastAsia" w:ascii="宋体" w:hAnsi="宋体" w:cs="宋体"/>
                <w:color w:val="000000"/>
                <w:kern w:val="0"/>
                <w:szCs w:val="21"/>
                <w:highlight w:val="none"/>
              </w:rPr>
              <w:t>优于招标要求的，每项加1分，最多加5分；</w:t>
            </w:r>
            <w:r>
              <w:rPr>
                <w:rFonts w:hint="eastAsia" w:ascii="宋体" w:hAnsi="宋体" w:cs="宋体"/>
                <w:kern w:val="0"/>
                <w:szCs w:val="21"/>
                <w:highlight w:val="none"/>
              </w:rPr>
              <w:t>低于招标要求的，作无效投标处理。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419" w:type="dxa"/>
            <w:vMerge w:val="continue"/>
            <w:tcBorders>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000000"/>
                <w:szCs w:val="21"/>
              </w:rPr>
            </w:pP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（2）系统优化建议：</w:t>
            </w:r>
          </w:p>
          <w:p>
            <w:pPr>
              <w:widowControl/>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能根据本项目的需求，提供完善的系统集成方案，对本次项目需求作进一步思考，提供更加优化、合理的系统集成方案得0-20分（由评委酌情给分）。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419" w:type="dxa"/>
            <w:vMerge w:val="restart"/>
            <w:tcBorders>
              <w:left w:val="single" w:color="auto" w:sz="4" w:space="0"/>
              <w:right w:val="single" w:color="auto" w:sz="4" w:space="0"/>
            </w:tcBorders>
            <w:vAlign w:val="center"/>
          </w:tcPr>
          <w:p>
            <w:pPr>
              <w:spacing w:line="360" w:lineRule="auto"/>
              <w:jc w:val="left"/>
              <w:rPr>
                <w:rFonts w:ascii="宋体" w:hAnsi="宋体" w:cs="宋体"/>
                <w:kern w:val="0"/>
                <w:szCs w:val="21"/>
              </w:rPr>
            </w:pPr>
            <w:r>
              <w:rPr>
                <w:rFonts w:hint="eastAsia" w:ascii="宋体" w:hAnsi="宋体" w:cs="宋体"/>
                <w:kern w:val="0"/>
                <w:szCs w:val="21"/>
              </w:rPr>
              <w:t>资质分15分</w:t>
            </w: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Cs w:val="21"/>
              </w:rPr>
            </w:pPr>
            <w:r>
              <w:rPr>
                <w:rFonts w:hint="eastAsia" w:ascii="宋体" w:hAnsi="宋体" w:cs="宋体"/>
                <w:kern w:val="0"/>
                <w:szCs w:val="21"/>
              </w:rPr>
              <w:t>所投音箱、功放、抑制器、音频处理器、会议系统主机品牌厂家通过ISO27001信息安全管理体系认证且认证范围为音视频系统，提供证书复印件加盖公章，得3分。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419" w:type="dxa"/>
            <w:vMerge w:val="continue"/>
            <w:tcBorders>
              <w:left w:val="single" w:color="auto" w:sz="4" w:space="0"/>
              <w:right w:val="single" w:color="auto" w:sz="4" w:space="0"/>
            </w:tcBorders>
            <w:vAlign w:val="center"/>
          </w:tcPr>
          <w:p>
            <w:pPr>
              <w:spacing w:line="360" w:lineRule="auto"/>
              <w:jc w:val="left"/>
              <w:rPr>
                <w:rFonts w:ascii="宋体" w:hAnsi="宋体" w:cs="宋体"/>
                <w:kern w:val="0"/>
                <w:szCs w:val="21"/>
              </w:rPr>
            </w:pP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Cs w:val="21"/>
              </w:rPr>
            </w:pPr>
            <w:r>
              <w:rPr>
                <w:rFonts w:hint="eastAsia" w:ascii="宋体" w:hAnsi="宋体" w:cs="宋体"/>
                <w:kern w:val="0"/>
                <w:szCs w:val="21"/>
              </w:rPr>
              <w:t>所投标音响系统设备制造商具有EASE声学设计产品证书，提供证书复印件加盖公章，得3分。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19" w:type="dxa"/>
            <w:vMerge w:val="continue"/>
            <w:tcBorders>
              <w:left w:val="single" w:color="auto" w:sz="4" w:space="0"/>
              <w:right w:val="single" w:color="auto" w:sz="4" w:space="0"/>
            </w:tcBorders>
            <w:vAlign w:val="center"/>
          </w:tcPr>
          <w:p>
            <w:pPr>
              <w:spacing w:line="360" w:lineRule="auto"/>
              <w:jc w:val="left"/>
              <w:rPr>
                <w:rFonts w:ascii="宋体" w:hAnsi="宋体" w:cs="宋体"/>
                <w:kern w:val="0"/>
                <w:szCs w:val="21"/>
              </w:rPr>
            </w:pP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Cs w:val="21"/>
              </w:rPr>
            </w:pPr>
            <w:r>
              <w:rPr>
                <w:rFonts w:hint="eastAsia" w:ascii="宋体" w:hAnsi="宋体" w:cs="宋体"/>
                <w:kern w:val="0"/>
                <w:szCs w:val="21"/>
              </w:rPr>
              <w:t>所投产品厂家具有声频工程企业综合技术等级壹级资质，提供证书复印件加盖公章，得3分。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419" w:type="dxa"/>
            <w:vMerge w:val="continue"/>
            <w:tcBorders>
              <w:left w:val="single" w:color="auto" w:sz="4" w:space="0"/>
              <w:right w:val="single" w:color="auto" w:sz="4" w:space="0"/>
            </w:tcBorders>
            <w:vAlign w:val="center"/>
          </w:tcPr>
          <w:p>
            <w:pPr>
              <w:spacing w:line="360" w:lineRule="auto"/>
              <w:jc w:val="left"/>
              <w:rPr>
                <w:rFonts w:ascii="宋体" w:hAnsi="宋体" w:cs="宋体"/>
                <w:kern w:val="0"/>
                <w:szCs w:val="21"/>
              </w:rPr>
            </w:pP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Cs w:val="21"/>
              </w:rPr>
            </w:pPr>
            <w:r>
              <w:rPr>
                <w:rFonts w:hint="eastAsia" w:ascii="宋体" w:hAnsi="宋体" w:cs="宋体"/>
                <w:kern w:val="0"/>
                <w:szCs w:val="21"/>
              </w:rPr>
              <w:t>所投产品厂家需提供中国绿色环保产品证书，提供证书复印件加盖公章，得3分。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19" w:type="dxa"/>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Cs w:val="21"/>
              </w:rPr>
            </w:pP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Cs w:val="21"/>
              </w:rPr>
            </w:pPr>
            <w:r>
              <w:rPr>
                <w:rFonts w:hint="eastAsia" w:ascii="宋体" w:hAnsi="宋体" w:cs="宋体"/>
                <w:kern w:val="0"/>
                <w:szCs w:val="21"/>
              </w:rPr>
              <w:t>所投产品厂家获得CAQI全国质量检验稳定合格产品证书，证书需有（数字会议、专业音响）等文字，提供证书复印件加盖原厂公章，得3分。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exact"/>
        </w:trPr>
        <w:tc>
          <w:tcPr>
            <w:tcW w:w="1419"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施工组织</w:t>
            </w:r>
          </w:p>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（5分）</w:t>
            </w: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有完整的项目人员组织管理、实施技术人员有一定的资历和技术水平，得２分；有明确、合理的施工进度计划和工期保证措施、施工方案及质量保证措施得２分，有安全文明施工及环境保护措施，得1分，本项最高为５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exact"/>
        </w:trPr>
        <w:tc>
          <w:tcPr>
            <w:tcW w:w="1419" w:type="dxa"/>
            <w:tcBorders>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培训及售后服务（5分）</w:t>
            </w:r>
          </w:p>
        </w:tc>
        <w:tc>
          <w:tcPr>
            <w:tcW w:w="759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eastAsiaTheme="minorEastAsia" w:cstheme="minorEastAsia"/>
                <w:color w:val="000000"/>
                <w:szCs w:val="21"/>
              </w:rPr>
            </w:pPr>
            <w:r>
              <w:rPr>
                <w:rFonts w:hint="eastAsia" w:ascii="宋体" w:hAnsi="宋体" w:cs="宋体"/>
                <w:color w:val="000000"/>
                <w:kern w:val="0"/>
                <w:szCs w:val="21"/>
              </w:rPr>
              <w:t>1、本项目质保期不少于三年，少于三年的</w:t>
            </w:r>
            <w:r>
              <w:rPr>
                <w:rFonts w:hint="eastAsia" w:ascii="宋体" w:hAnsi="宋体" w:cs="宋体"/>
                <w:kern w:val="0"/>
                <w:szCs w:val="21"/>
              </w:rPr>
              <w:t>做无效处理</w:t>
            </w:r>
            <w:r>
              <w:rPr>
                <w:rFonts w:hint="eastAsia" w:ascii="宋体" w:hAnsi="宋体" w:cs="宋体"/>
                <w:color w:val="000000"/>
                <w:kern w:val="0"/>
                <w:szCs w:val="21"/>
              </w:rPr>
              <w:t>。在质保期三年的基础上每增加一年得1分，满分3分。（合同质保期相应延长）</w:t>
            </w:r>
          </w:p>
          <w:p>
            <w:pPr>
              <w:widowControl/>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2、有详细的施工计划、维保响应时间、具体的保障措施、专业维护队伍的完备和管理情况及详细的维修维护方案１分。</w:t>
            </w:r>
          </w:p>
          <w:p>
            <w:pPr>
              <w:widowControl/>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3、质保期后的维修维护方案和承诺１分。</w:t>
            </w:r>
          </w:p>
        </w:tc>
      </w:tr>
    </w:tbl>
    <w:p>
      <w:pPr>
        <w:snapToGrid w:val="0"/>
        <w:spacing w:line="480" w:lineRule="exact"/>
        <w:outlineLvl w:val="2"/>
        <w:rPr>
          <w:rFonts w:hint="eastAsia" w:asciiTheme="minorEastAsia" w:hAnsiTheme="minorEastAsia" w:eastAsiaTheme="minorEastAsia" w:cstheme="minorEastAsia"/>
          <w:sz w:val="24"/>
          <w:szCs w:val="24"/>
        </w:rPr>
      </w:pPr>
    </w:p>
    <w:p>
      <w:pPr>
        <w:snapToGrid w:val="0"/>
        <w:spacing w:line="360" w:lineRule="auto"/>
        <w:ind w:firstLine="562"/>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特别提醒：技术响应评分中所涉及相关资料等证明材料均须提供原件复印件并将原件带至开标现场备查，未携带原件或因携带原件不全所引起的后果由投标供应商自行承担。</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（二）商务报价分：（</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0分）</w:t>
      </w:r>
    </w:p>
    <w:p>
      <w:pPr>
        <w:snapToGrid w:val="0"/>
        <w:spacing w:line="480" w:lineRule="exact"/>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b/>
          <w:bCs/>
          <w:sz w:val="24"/>
          <w:szCs w:val="24"/>
        </w:rPr>
        <w:t>本次项目最高限价：</w:t>
      </w:r>
      <w:r>
        <w:rPr>
          <w:rFonts w:hint="eastAsia" w:asciiTheme="minorEastAsia" w:hAnsiTheme="minorEastAsia" w:eastAsiaTheme="minorEastAsia" w:cstheme="minorEastAsia"/>
          <w:b/>
          <w:bCs/>
          <w:sz w:val="24"/>
          <w:szCs w:val="24"/>
          <w:highlight w:val="none"/>
          <w:lang w:val="en-US" w:eastAsia="zh-CN"/>
        </w:rPr>
        <w:t>19.8</w:t>
      </w:r>
      <w:r>
        <w:rPr>
          <w:rFonts w:hint="eastAsia" w:asciiTheme="minorEastAsia" w:hAnsiTheme="minorEastAsia" w:eastAsiaTheme="minorEastAsia" w:cstheme="minorEastAsia"/>
          <w:b/>
          <w:bCs/>
          <w:sz w:val="24"/>
          <w:szCs w:val="24"/>
          <w:highlight w:val="none"/>
        </w:rPr>
        <w:t>万元，</w:t>
      </w:r>
      <w:r>
        <w:rPr>
          <w:rFonts w:hint="eastAsia" w:asciiTheme="minorEastAsia" w:hAnsiTheme="minorEastAsia" w:eastAsiaTheme="minorEastAsia" w:cstheme="minorEastAsia"/>
          <w:b/>
          <w:bCs/>
          <w:sz w:val="24"/>
          <w:szCs w:val="24"/>
        </w:rPr>
        <w:t>超过限价作无效标处理。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2、满足磋商文件要求且最后报价最低的供应商的价格为磋商基准价，其商务报价分为满分。其他供应商的商务报价分统一按照下列公式计算：</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商务报价分 =（磋商基准价/最后磋商报价）×</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0%×100</w:t>
      </w:r>
    </w:p>
    <w:p>
      <w:pPr>
        <w:adjustRightInd w:val="0"/>
        <w:snapToGrid w:val="0"/>
        <w:spacing w:line="480" w:lineRule="exact"/>
        <w:ind w:firstLine="585"/>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五、出现下列情形之一的，作无效标处理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1、响应文件未按规定要求装订、密封、签署、盖章及主要资料不齐全的；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2、响应文件的资料有虚报或者谎报的；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3、响应文件中资格审查文件及技术响应文件出现磋商报价的内容；</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4、不具备磋商文件规定的资格要求的；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5、响应文件有重大漏项或重大不合理的；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6、项目技术、方案不满足项目需求中的要求，有重大偏离或保留的；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7、磋商响应报价超出项目预算的；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8、被认定为低于成本报价磋商竞标的；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9、供应商的磋商报价高于自己前一轮的；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10、不符合法律、法规和磋商文件中规定的其他实质性响应要求的；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11、磋商小组依据法律法规可以认定为无效投标的其他情况。</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六、出现下列情形之一的，作废标处理</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1、供应商的报价均超出了采购预算，采购单位不能支付的；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2、因情况变化，不再符合规定的竞争性磋商采购方式所适用情形的；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3、出现影响采购公正的违法、违规行为的；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4、因重大变故，采购任务取消的；</w:t>
      </w:r>
    </w:p>
    <w:p>
      <w:pPr>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5、磋商小组依据法律法规可以认定为废标的其他情况。</w:t>
      </w:r>
    </w:p>
    <w:p>
      <w:pPr>
        <w:snapToGrid w:val="0"/>
        <w:spacing w:line="480" w:lineRule="exact"/>
        <w:ind w:firstLine="482" w:firstLineChars="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七、成交通知</w:t>
      </w:r>
    </w:p>
    <w:p>
      <w:pPr>
        <w:spacing w:line="480" w:lineRule="exact"/>
        <w:ind w:firstLine="484" w:firstLineChars="20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kern w:val="0"/>
          <w:sz w:val="24"/>
          <w:szCs w:val="24"/>
        </w:rPr>
        <w:t>成交结果在江苏省南通市人民检察院官网公示</w:t>
      </w:r>
      <w:r>
        <w:rPr>
          <w:rFonts w:hint="eastAsia" w:asciiTheme="minorEastAsia" w:hAnsiTheme="minorEastAsia" w:eastAsiaTheme="minorEastAsia" w:cstheme="minorEastAsia"/>
          <w:b/>
          <w:kern w:val="0"/>
          <w:sz w:val="24"/>
          <w:szCs w:val="24"/>
          <w:u w:val="single"/>
          <w:lang w:val="en-US" w:eastAsia="zh-CN"/>
        </w:rPr>
        <w:t>1</w:t>
      </w:r>
      <w:r>
        <w:rPr>
          <w:rFonts w:hint="eastAsia" w:asciiTheme="minorEastAsia" w:hAnsiTheme="minorEastAsia" w:eastAsiaTheme="minorEastAsia" w:cstheme="minorEastAsia"/>
          <w:kern w:val="0"/>
          <w:sz w:val="24"/>
          <w:szCs w:val="24"/>
        </w:rPr>
        <w:t>个工作日。《成交通知书》一经发出，采购单位改变成交结果，或者中标人放弃成交的，各自承担相应的法律责任。《成交通知书》是采购合同的组成部分。</w:t>
      </w:r>
    </w:p>
    <w:p>
      <w:pPr>
        <w:numPr>
          <w:ilvl w:val="0"/>
          <w:numId w:val="7"/>
        </w:numPr>
        <w:snapToGrid w:val="0"/>
        <w:spacing w:line="520" w:lineRule="exact"/>
        <w:jc w:val="center"/>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w w:val="80"/>
          <w:kern w:val="44"/>
          <w:sz w:val="44"/>
          <w:szCs w:val="44"/>
        </w:rPr>
        <w:br w:type="page"/>
      </w:r>
      <w:r>
        <w:rPr>
          <w:rFonts w:hint="eastAsia" w:asciiTheme="minorEastAsia" w:hAnsiTheme="minorEastAsia" w:eastAsiaTheme="minorEastAsia" w:cstheme="minorEastAsia"/>
          <w:b/>
          <w:w w:val="80"/>
          <w:kern w:val="44"/>
          <w:sz w:val="44"/>
          <w:szCs w:val="44"/>
        </w:rPr>
        <w:t xml:space="preserve"> 合同主要条款</w:t>
      </w:r>
    </w:p>
    <w:p>
      <w:pPr>
        <w:pStyle w:val="14"/>
        <w:snapToGrid w:val="0"/>
        <w:spacing w:line="440" w:lineRule="exact"/>
        <w:ind w:firstLine="420"/>
        <w:rPr>
          <w:rFonts w:hint="eastAsia" w:asciiTheme="minorEastAsia" w:hAnsiTheme="minorEastAsia" w:eastAsiaTheme="minorEastAsia" w:cstheme="minorEastAsia"/>
          <w:b/>
          <w:color w:val="000000"/>
          <w:sz w:val="24"/>
          <w:szCs w:val="24"/>
        </w:rPr>
      </w:pPr>
    </w:p>
    <w:p>
      <w:pPr>
        <w:wordWrap w:val="0"/>
        <w:spacing w:line="360" w:lineRule="auto"/>
        <w:rPr>
          <w:rFonts w:ascii="宋体" w:hAnsi="宋体" w:cs="宋体"/>
          <w:sz w:val="24"/>
          <w:u w:val="single"/>
        </w:rPr>
      </w:pPr>
      <w:r>
        <w:rPr>
          <w:rFonts w:hint="eastAsia" w:ascii="宋体" w:hAnsi="宋体" w:cs="宋体"/>
          <w:spacing w:val="46"/>
          <w:sz w:val="24"/>
        </w:rPr>
        <w:t>采购单</w:t>
      </w:r>
      <w:r>
        <w:rPr>
          <w:rFonts w:hint="eastAsia" w:ascii="宋体" w:hAnsi="宋体" w:cs="宋体"/>
          <w:spacing w:val="2"/>
          <w:sz w:val="24"/>
        </w:rPr>
        <w:t>位</w:t>
      </w:r>
      <w:r>
        <w:rPr>
          <w:rFonts w:hint="eastAsia" w:ascii="宋体" w:hAnsi="宋体" w:cs="宋体"/>
          <w:sz w:val="24"/>
        </w:rPr>
        <w:t>（或称甲方）：</w:t>
      </w:r>
      <w:r>
        <w:rPr>
          <w:rFonts w:hint="eastAsia" w:ascii="宋体" w:hAnsi="宋体" w:cs="宋体"/>
          <w:sz w:val="24"/>
          <w:lang w:eastAsia="zh-CN"/>
        </w:rPr>
        <w:t>江苏省南通市人民检察院</w:t>
      </w:r>
    </w:p>
    <w:p>
      <w:pPr>
        <w:wordWrap w:val="0"/>
        <w:spacing w:line="360" w:lineRule="auto"/>
        <w:rPr>
          <w:rFonts w:hint="eastAsia" w:ascii="宋体" w:hAnsi="宋体" w:eastAsia="宋体" w:cs="宋体"/>
          <w:sz w:val="24"/>
        </w:rPr>
      </w:pPr>
      <w:r>
        <w:rPr>
          <w:rFonts w:hint="eastAsia" w:ascii="宋体" w:hAnsi="宋体" w:cs="宋体"/>
          <w:sz w:val="24"/>
          <w:lang w:val="en-US" w:eastAsia="zh-CN"/>
        </w:rPr>
        <w:t>成交供应商</w:t>
      </w:r>
      <w:r>
        <w:rPr>
          <w:rFonts w:hint="eastAsia" w:ascii="宋体" w:hAnsi="宋体" w:cs="宋体"/>
          <w:sz w:val="24"/>
        </w:rPr>
        <w:t>（或称乙方）：</w:t>
      </w:r>
      <w:r>
        <w:rPr>
          <w:rFonts w:hint="eastAsia" w:ascii="宋体" w:hAnsi="宋体" w:cs="宋体"/>
          <w:sz w:val="24"/>
          <w:lang w:val="en-US" w:eastAsia="zh-CN"/>
        </w:rPr>
        <w:t xml:space="preserve"> </w:t>
      </w:r>
    </w:p>
    <w:p>
      <w:pPr>
        <w:wordWrap w:val="0"/>
        <w:spacing w:line="360" w:lineRule="auto"/>
        <w:rPr>
          <w:rFonts w:hint="eastAsia" w:ascii="宋体" w:hAnsi="宋体" w:cs="宋体"/>
          <w:sz w:val="24"/>
        </w:rPr>
      </w:pPr>
      <w:r>
        <w:rPr>
          <w:rFonts w:hint="eastAsia" w:ascii="宋体" w:hAnsi="宋体" w:cs="宋体"/>
          <w:sz w:val="24"/>
        </w:rPr>
        <w:t>签订地点：</w:t>
      </w:r>
      <w:r>
        <w:rPr>
          <w:rFonts w:hint="eastAsia" w:ascii="宋体" w:hAnsi="宋体" w:cs="宋体"/>
          <w:sz w:val="24"/>
          <w:lang w:val="en-US" w:eastAsia="zh-CN"/>
        </w:rPr>
        <w:t xml:space="preserve"> </w:t>
      </w:r>
    </w:p>
    <w:p>
      <w:pPr>
        <w:spacing w:line="360" w:lineRule="auto"/>
        <w:ind w:firstLine="480" w:firstLineChars="200"/>
        <w:jc w:val="left"/>
        <w:rPr>
          <w:rFonts w:ascii="宋体" w:hAnsi="宋体" w:cs="宋体"/>
          <w:sz w:val="24"/>
        </w:rPr>
      </w:pP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根据《中华人民共和国合同法》及其他有关法律法规，甲乙双方经友好协商，本着平等互利的原则，就</w:t>
      </w:r>
      <w:r>
        <w:rPr>
          <w:rFonts w:hint="eastAsia" w:ascii="宋体" w:hAnsi="宋体" w:cs="宋体"/>
          <w:sz w:val="24"/>
          <w:lang w:eastAsia="zh-CN"/>
        </w:rPr>
        <w:t>江苏省南通市人民检察院四楼党组会议室信息化改造项目</w:t>
      </w:r>
      <w:r>
        <w:rPr>
          <w:rFonts w:hint="eastAsia" w:ascii="宋体" w:hAnsi="宋体" w:eastAsia="宋体" w:cs="宋体"/>
          <w:sz w:val="24"/>
        </w:rPr>
        <w:t>，以下简称“本项目”，达成一致并签订如下协议。</w:t>
      </w:r>
    </w:p>
    <w:p>
      <w:pPr>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一、合同的标的物</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甲方向乙方采购标的物，具体的品种、规格要求详见</w:t>
      </w:r>
      <w:r>
        <w:rPr>
          <w:rFonts w:hint="eastAsia" w:ascii="宋体" w:hAnsi="宋体" w:cs="宋体"/>
          <w:sz w:val="24"/>
          <w:szCs w:val="24"/>
          <w:lang w:val="en-US" w:eastAsia="zh-CN"/>
        </w:rPr>
        <w:t>本项目谈判</w:t>
      </w:r>
      <w:r>
        <w:rPr>
          <w:rFonts w:hint="eastAsia" w:ascii="宋体" w:hAnsi="宋体" w:eastAsia="宋体" w:cs="宋体"/>
          <w:sz w:val="24"/>
          <w:szCs w:val="24"/>
          <w:lang w:val="en-US" w:eastAsia="zh-CN"/>
        </w:rPr>
        <w:t>文件。</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乙方对提供的标的物应当拥有完整的物权，并且负有保证第三人不得向甲方主张任何权利（包括知识产权）的义务。</w:t>
      </w:r>
    </w:p>
    <w:p>
      <w:pPr>
        <w:snapToGrid w:val="0"/>
        <w:spacing w:line="500" w:lineRule="exact"/>
        <w:ind w:firstLine="482" w:firstLineChars="200"/>
        <w:rPr>
          <w:rFonts w:hint="eastAsia" w:ascii="宋体" w:hAnsi="宋体" w:eastAsia="宋体" w:cs="宋体"/>
          <w:b/>
          <w:bCs/>
          <w:sz w:val="24"/>
          <w:szCs w:val="24"/>
        </w:rPr>
      </w:pPr>
      <w:r>
        <w:rPr>
          <w:rFonts w:hint="eastAsia" w:ascii="宋体" w:hAnsi="宋体" w:cs="宋体"/>
          <w:b/>
          <w:bCs/>
          <w:sz w:val="24"/>
          <w:szCs w:val="24"/>
          <w:lang w:eastAsia="zh-CN"/>
        </w:rPr>
        <w:t>二</w:t>
      </w:r>
      <w:r>
        <w:rPr>
          <w:rFonts w:hint="eastAsia" w:ascii="宋体" w:hAnsi="宋体" w:eastAsia="宋体" w:cs="宋体"/>
          <w:b/>
          <w:bCs/>
          <w:sz w:val="24"/>
          <w:szCs w:val="24"/>
        </w:rPr>
        <w:t>、合同价格与支付</w:t>
      </w:r>
    </w:p>
    <w:p>
      <w:pPr>
        <w:snapToGrid w:val="0"/>
        <w:spacing w:line="500" w:lineRule="exact"/>
        <w:ind w:firstLine="480" w:firstLineChars="200"/>
        <w:rPr>
          <w:rFonts w:hint="eastAsia" w:ascii="宋体" w:hAnsi="宋体" w:eastAsia="宋体"/>
          <w:b w:val="0"/>
          <w:bCs/>
          <w:sz w:val="24"/>
          <w:szCs w:val="24"/>
          <w:lang w:val="en-US" w:eastAsia="zh-CN"/>
        </w:rPr>
      </w:pPr>
      <w:r>
        <w:rPr>
          <w:rFonts w:hint="eastAsia" w:ascii="宋体" w:hAnsi="宋体"/>
          <w:b w:val="0"/>
          <w:bCs/>
          <w:sz w:val="24"/>
          <w:szCs w:val="24"/>
          <w:lang w:val="en-US" w:eastAsia="zh-CN"/>
        </w:rPr>
        <w:t>1、</w:t>
      </w:r>
      <w:r>
        <w:rPr>
          <w:rFonts w:hint="eastAsia" w:ascii="宋体" w:hAnsi="宋体"/>
          <w:b w:val="0"/>
          <w:bCs/>
          <w:sz w:val="24"/>
          <w:szCs w:val="24"/>
          <w:lang w:eastAsia="zh-CN"/>
        </w:rPr>
        <w:t>合同价格按此次成交价格执行，合同总金额为人民</w:t>
      </w:r>
      <w:r>
        <w:rPr>
          <w:rFonts w:hint="eastAsia" w:ascii="宋体" w:hAnsi="宋体" w:eastAsia="宋体"/>
          <w:b w:val="0"/>
          <w:bCs/>
          <w:sz w:val="24"/>
          <w:szCs w:val="24"/>
          <w:lang w:eastAsia="zh-CN"/>
        </w:rPr>
        <w:t>币</w:t>
      </w:r>
      <w:r>
        <w:rPr>
          <w:rFonts w:hint="eastAsia" w:ascii="宋体" w:hAnsi="宋体"/>
          <w:b w:val="0"/>
          <w:bCs/>
          <w:sz w:val="24"/>
          <w:szCs w:val="24"/>
          <w:u w:val="single"/>
          <w:lang w:val="en-US" w:eastAsia="zh-CN"/>
        </w:rPr>
        <w:t xml:space="preserve">              </w:t>
      </w:r>
      <w:r>
        <w:rPr>
          <w:rFonts w:hint="eastAsia" w:ascii="宋体" w:hAnsi="宋体" w:eastAsia="宋体"/>
          <w:b w:val="0"/>
          <w:bCs/>
          <w:sz w:val="24"/>
          <w:szCs w:val="24"/>
          <w:u w:val="single"/>
          <w:lang w:eastAsia="zh-CN"/>
        </w:rPr>
        <w:t>元</w:t>
      </w:r>
      <w:r>
        <w:rPr>
          <w:rFonts w:hint="eastAsia" w:ascii="宋体" w:hAnsi="宋体" w:eastAsia="宋体"/>
          <w:b w:val="0"/>
          <w:bCs/>
          <w:sz w:val="24"/>
          <w:szCs w:val="24"/>
          <w:u w:val="single"/>
          <w:lang w:val="en-US" w:eastAsia="zh-CN"/>
        </w:rPr>
        <w:t>整</w:t>
      </w:r>
      <w:r>
        <w:rPr>
          <w:rFonts w:hint="eastAsia" w:ascii="宋体" w:hAnsi="宋体" w:eastAsia="宋体"/>
          <w:b w:val="0"/>
          <w:bCs/>
          <w:sz w:val="24"/>
          <w:szCs w:val="24"/>
          <w:lang w:eastAsia="zh-CN"/>
        </w:rPr>
        <w:t>，</w:t>
      </w:r>
      <w:r>
        <w:rPr>
          <w:rFonts w:hint="eastAsia" w:ascii="宋体" w:hAnsi="宋体" w:eastAsia="宋体"/>
          <w:b w:val="0"/>
          <w:bCs/>
          <w:sz w:val="24"/>
          <w:szCs w:val="24"/>
          <w:lang w:val="en-US" w:eastAsia="zh-CN"/>
        </w:rPr>
        <w:t>包含所有设备费、安装调试费、运输到指定地点的装运费用（含装卸力资）、相关安装辅助材料费、连接运行配件费、施工后的修补、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乙方有义务保证甲方系统的完整性，部分连接运行配件未在谈判文件中明示的，乙方须予以补充。如项目实施过程中因缺少设备、配件或服务导致甲方系统无法正常运行，乙方须免费提供；除甲方明确提出的变更外，本项目不再增加任何费用。</w:t>
      </w:r>
    </w:p>
    <w:p>
      <w:pPr>
        <w:snapToGrid w:val="0"/>
        <w:spacing w:line="500" w:lineRule="exact"/>
        <w:ind w:firstLine="480" w:firstLineChars="200"/>
        <w:rPr>
          <w:rFonts w:hint="eastAsia" w:ascii="宋体" w:hAnsi="宋体" w:eastAsia="宋体" w:cs="宋体"/>
          <w:color w:val="000000"/>
          <w:sz w:val="24"/>
          <w:szCs w:val="24"/>
          <w:lang w:val="en-US" w:eastAsia="zh-CN"/>
        </w:rPr>
      </w:pPr>
      <w:r>
        <w:rPr>
          <w:rFonts w:hint="eastAsia" w:ascii="宋体" w:hAnsi="宋体"/>
          <w:b w:val="0"/>
          <w:bCs/>
          <w:sz w:val="24"/>
          <w:szCs w:val="24"/>
          <w:lang w:val="en-US" w:eastAsia="zh-CN"/>
        </w:rPr>
        <w:t>2、付款方式：所有设备送到现场，初验合格后支付合同总价的50%；安装调试完毕</w:t>
      </w:r>
      <w:r>
        <w:rPr>
          <w:rFonts w:hint="eastAsia" w:ascii="宋体" w:hAnsi="宋体" w:eastAsia="宋体" w:cs="宋体"/>
          <w:color w:val="000000"/>
          <w:sz w:val="24"/>
          <w:szCs w:val="24"/>
          <w:highlight w:val="none"/>
        </w:rPr>
        <w:t>验收合格后，支付合同</w:t>
      </w:r>
      <w:r>
        <w:rPr>
          <w:rFonts w:hint="eastAsia" w:ascii="宋体" w:hAnsi="宋体" w:cs="宋体"/>
          <w:color w:val="000000"/>
          <w:sz w:val="24"/>
          <w:szCs w:val="24"/>
          <w:highlight w:val="none"/>
          <w:lang w:eastAsia="zh-CN"/>
        </w:rPr>
        <w:t>价</w:t>
      </w:r>
      <w:r>
        <w:rPr>
          <w:rFonts w:hint="eastAsia" w:ascii="宋体" w:hAnsi="宋体" w:eastAsia="宋体" w:cs="宋体"/>
          <w:color w:val="000000"/>
          <w:sz w:val="24"/>
          <w:szCs w:val="24"/>
          <w:highlight w:val="none"/>
        </w:rPr>
        <w:t>的</w:t>
      </w:r>
      <w:r>
        <w:rPr>
          <w:rFonts w:hint="eastAsia" w:ascii="宋体" w:hAnsi="宋体" w:cs="宋体"/>
          <w:color w:val="000000"/>
          <w:sz w:val="24"/>
          <w:szCs w:val="24"/>
          <w:highlight w:val="none"/>
          <w:lang w:val="en-US" w:eastAsia="zh-CN"/>
        </w:rPr>
        <w:t>45</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eastAsia="zh-CN"/>
        </w:rPr>
        <w:t>余款质保期结束后付清</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以上付款均不计利息。</w:t>
      </w:r>
    </w:p>
    <w:p>
      <w:pPr>
        <w:snapToGrid w:val="0"/>
        <w:spacing w:line="500" w:lineRule="exact"/>
        <w:ind w:firstLine="480" w:firstLineChars="200"/>
        <w:rPr>
          <w:rFonts w:hint="eastAsia" w:ascii="宋体" w:hAnsi="宋体" w:eastAsia="宋体" w:cs="宋体"/>
          <w:sz w:val="24"/>
          <w:szCs w:val="24"/>
        </w:rPr>
      </w:pPr>
      <w:r>
        <w:rPr>
          <w:rFonts w:hint="eastAsia" w:ascii="宋体" w:hAnsi="宋体"/>
          <w:b w:val="0"/>
          <w:bCs/>
          <w:sz w:val="24"/>
          <w:szCs w:val="24"/>
          <w:lang w:val="en-US" w:eastAsia="zh-CN"/>
        </w:rPr>
        <w:t>3、乙方按期交货后向甲方结算货款时须提供下列单据：质量保证书及随产品附带的所有有</w:t>
      </w:r>
      <w:r>
        <w:rPr>
          <w:rFonts w:hint="eastAsia" w:ascii="宋体" w:hAnsi="宋体" w:eastAsia="宋体" w:cs="宋体"/>
          <w:sz w:val="24"/>
          <w:szCs w:val="24"/>
        </w:rPr>
        <w:t>关资料、甲方盖章签收后的运货回单和验收合格证明。</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根据现行税法对甲方征收的与本合同有关的一切税费均由甲方承担；根据现行税法对乙方征收的与本合同有关的一切税费均由乙方承担。</w:t>
      </w:r>
    </w:p>
    <w:p>
      <w:pPr>
        <w:snapToGrid w:val="0"/>
        <w:spacing w:line="480" w:lineRule="exact"/>
        <w:ind w:firstLine="494" w:firstLineChars="206"/>
        <w:outlineLvl w:val="1"/>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由于乙方原因，在签订合同后出现不按合同履行的情况，甲方有权终止合同，乙方还须承担相应的法律赔偿责任。</w:t>
      </w:r>
    </w:p>
    <w:p>
      <w:pPr>
        <w:snapToGrid w:val="0"/>
        <w:spacing w:line="480" w:lineRule="exact"/>
        <w:ind w:firstLine="496" w:firstLineChars="206"/>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四、产品质量及服务要求</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1、产品质量要求</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eastAsia="zh-CN"/>
        </w:rPr>
        <w:t>乙方</w:t>
      </w:r>
      <w:r>
        <w:rPr>
          <w:rFonts w:hint="eastAsia" w:ascii="宋体" w:hAnsi="宋体" w:eastAsia="宋体" w:cs="宋体"/>
          <w:color w:val="000000"/>
          <w:sz w:val="24"/>
          <w:szCs w:val="24"/>
        </w:rPr>
        <w:t>提供的设备必须是原厂商正宗原装全新产品，随机资料完整。型号、性能及指标符合国家及</w:t>
      </w:r>
      <w:r>
        <w:rPr>
          <w:rFonts w:hint="eastAsia" w:ascii="宋体" w:hAnsi="宋体" w:cs="宋体"/>
          <w:color w:val="000000"/>
          <w:sz w:val="24"/>
          <w:szCs w:val="24"/>
          <w:lang w:eastAsia="zh-CN"/>
        </w:rPr>
        <w:t>磋商文件</w:t>
      </w:r>
      <w:r>
        <w:rPr>
          <w:rFonts w:hint="eastAsia" w:ascii="宋体" w:hAnsi="宋体" w:eastAsia="宋体" w:cs="宋体"/>
          <w:color w:val="000000"/>
          <w:sz w:val="24"/>
          <w:szCs w:val="24"/>
        </w:rPr>
        <w:t>提出的有关技术、质量、安全标准。</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（2）所有设备在开箱检验时必须完好，无破损，配置与装箱单相符。数量、质量及性能不低于本</w:t>
      </w:r>
      <w:r>
        <w:rPr>
          <w:rFonts w:hint="eastAsia" w:ascii="宋体" w:hAnsi="宋体" w:cs="宋体"/>
          <w:color w:val="000000"/>
          <w:sz w:val="24"/>
          <w:szCs w:val="24"/>
          <w:lang w:val="en-US" w:eastAsia="zh-CN"/>
        </w:rPr>
        <w:t>项目</w:t>
      </w:r>
      <w:r>
        <w:rPr>
          <w:rFonts w:hint="eastAsia" w:ascii="宋体" w:hAnsi="宋体" w:cs="宋体"/>
          <w:color w:val="000000"/>
          <w:sz w:val="24"/>
          <w:szCs w:val="24"/>
          <w:lang w:eastAsia="zh-CN"/>
        </w:rPr>
        <w:t>磋商文件</w:t>
      </w:r>
      <w:r>
        <w:rPr>
          <w:rFonts w:hint="eastAsia" w:ascii="宋体" w:hAnsi="宋体" w:eastAsia="宋体" w:cs="宋体"/>
          <w:color w:val="000000"/>
          <w:sz w:val="24"/>
          <w:szCs w:val="24"/>
        </w:rPr>
        <w:t>中提出的要求。所供设备应能构成一个完整的运行系统。所有需要的硬件和软件需配齐。</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（3）设备外观清洁，标记编号以及盘面显示等字体清晰，明确。铭牌、使用指示、警告指示应以中文或英文及易懂的通用符号来表示；应准确无误地表明设备之型号、规格、制造厂及生产或出厂日期。</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（4）对于影响设备正常工作的必要组成部分，无论在技术规范中指出与否，</w:t>
      </w:r>
      <w:r>
        <w:rPr>
          <w:rFonts w:hint="eastAsia" w:ascii="宋体" w:hAnsi="宋体" w:cs="宋体"/>
          <w:color w:val="000000"/>
          <w:sz w:val="24"/>
          <w:szCs w:val="24"/>
          <w:lang w:eastAsia="zh-CN"/>
        </w:rPr>
        <w:t>乙方</w:t>
      </w:r>
      <w:r>
        <w:rPr>
          <w:rFonts w:hint="eastAsia" w:ascii="宋体" w:hAnsi="宋体" w:eastAsia="宋体" w:cs="宋体"/>
          <w:color w:val="000000"/>
          <w:sz w:val="24"/>
          <w:szCs w:val="24"/>
        </w:rPr>
        <w:t>都应提供并在投标文件中明确列出。</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2、技术服务要求</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(1）供货</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须有义务保证</w:t>
      </w:r>
      <w:r>
        <w:rPr>
          <w:rFonts w:hint="eastAsia" w:ascii="宋体" w:hAnsi="宋体" w:cs="宋体"/>
          <w:color w:val="000000"/>
          <w:sz w:val="24"/>
          <w:szCs w:val="24"/>
          <w:highlight w:val="none"/>
          <w:lang w:eastAsia="zh-CN"/>
        </w:rPr>
        <w:t>甲方</w:t>
      </w:r>
      <w:r>
        <w:rPr>
          <w:rFonts w:hint="eastAsia" w:ascii="宋体" w:hAnsi="宋体" w:eastAsia="宋体" w:cs="宋体"/>
          <w:color w:val="000000"/>
          <w:sz w:val="24"/>
          <w:szCs w:val="24"/>
          <w:highlight w:val="none"/>
        </w:rPr>
        <w:t>系统的完整性，部分连接运行配件未在</w:t>
      </w:r>
      <w:r>
        <w:rPr>
          <w:rFonts w:hint="eastAsia" w:ascii="宋体" w:hAnsi="宋体" w:cs="宋体"/>
          <w:color w:val="000000"/>
          <w:sz w:val="24"/>
          <w:szCs w:val="24"/>
          <w:highlight w:val="none"/>
          <w:lang w:val="en-US" w:eastAsia="zh-CN"/>
        </w:rPr>
        <w:t>磋商文件</w:t>
      </w:r>
      <w:r>
        <w:rPr>
          <w:rFonts w:hint="eastAsia" w:ascii="宋体" w:hAnsi="宋体" w:eastAsia="宋体" w:cs="宋体"/>
          <w:color w:val="000000"/>
          <w:sz w:val="24"/>
          <w:szCs w:val="24"/>
          <w:highlight w:val="none"/>
        </w:rPr>
        <w:t>中明示的，</w:t>
      </w: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应在</w:t>
      </w:r>
      <w:r>
        <w:rPr>
          <w:rFonts w:hint="eastAsia" w:ascii="宋体" w:hAnsi="宋体" w:cs="宋体"/>
          <w:color w:val="000000"/>
          <w:sz w:val="24"/>
          <w:szCs w:val="24"/>
          <w:highlight w:val="none"/>
          <w:lang w:val="en-US" w:eastAsia="zh-CN"/>
        </w:rPr>
        <w:t>施工时</w:t>
      </w:r>
      <w:r>
        <w:rPr>
          <w:rFonts w:hint="eastAsia" w:ascii="宋体" w:hAnsi="宋体" w:eastAsia="宋体" w:cs="宋体"/>
          <w:color w:val="000000"/>
          <w:sz w:val="24"/>
          <w:szCs w:val="24"/>
          <w:highlight w:val="none"/>
        </w:rPr>
        <w:t>予以补充，如项目实施过程中因缺少设备、配件或服务导致</w:t>
      </w:r>
      <w:r>
        <w:rPr>
          <w:rFonts w:hint="eastAsia" w:ascii="宋体" w:hAnsi="宋体" w:cs="宋体"/>
          <w:color w:val="000000"/>
          <w:sz w:val="24"/>
          <w:szCs w:val="24"/>
          <w:highlight w:val="none"/>
          <w:lang w:eastAsia="zh-CN"/>
        </w:rPr>
        <w:t>甲方</w:t>
      </w:r>
      <w:r>
        <w:rPr>
          <w:rFonts w:hint="eastAsia" w:ascii="宋体" w:hAnsi="宋体" w:eastAsia="宋体" w:cs="宋体"/>
          <w:color w:val="000000"/>
          <w:sz w:val="24"/>
          <w:szCs w:val="24"/>
          <w:highlight w:val="none"/>
        </w:rPr>
        <w:t>系统无法正常运行，</w:t>
      </w:r>
      <w:r>
        <w:rPr>
          <w:rFonts w:hint="eastAsia" w:ascii="宋体" w:hAnsi="宋体" w:cs="宋体"/>
          <w:color w:val="000000"/>
          <w:sz w:val="24"/>
          <w:szCs w:val="24"/>
          <w:highlight w:val="none"/>
          <w:lang w:eastAsia="zh-CN"/>
        </w:rPr>
        <w:t>乙方</w:t>
      </w:r>
      <w:r>
        <w:rPr>
          <w:rFonts w:hint="eastAsia" w:ascii="宋体" w:hAnsi="宋体" w:cs="宋体"/>
          <w:color w:val="000000"/>
          <w:sz w:val="24"/>
          <w:szCs w:val="24"/>
          <w:highlight w:val="none"/>
          <w:lang w:val="en-US" w:eastAsia="zh-CN"/>
        </w:rPr>
        <w:t>承诺</w:t>
      </w:r>
      <w:r>
        <w:rPr>
          <w:rFonts w:hint="eastAsia" w:ascii="宋体" w:hAnsi="宋体" w:eastAsia="宋体" w:cs="宋体"/>
          <w:color w:val="000000"/>
          <w:sz w:val="24"/>
          <w:szCs w:val="24"/>
          <w:highlight w:val="none"/>
        </w:rPr>
        <w:t>免费提供；除</w:t>
      </w:r>
      <w:r>
        <w:rPr>
          <w:rFonts w:hint="eastAsia" w:ascii="宋体" w:hAnsi="宋体" w:cs="宋体"/>
          <w:color w:val="000000"/>
          <w:sz w:val="24"/>
          <w:szCs w:val="24"/>
          <w:highlight w:val="none"/>
          <w:lang w:eastAsia="zh-CN"/>
        </w:rPr>
        <w:t>甲方</w:t>
      </w:r>
      <w:r>
        <w:rPr>
          <w:rFonts w:hint="eastAsia" w:ascii="宋体" w:hAnsi="宋体" w:eastAsia="宋体" w:cs="宋体"/>
          <w:color w:val="000000"/>
          <w:sz w:val="24"/>
          <w:szCs w:val="24"/>
          <w:highlight w:val="none"/>
        </w:rPr>
        <w:t>明确提出的变更外，本项目不再增加任何费用；报价风险由</w:t>
      </w:r>
      <w:r>
        <w:rPr>
          <w:rFonts w:hint="eastAsia" w:ascii="宋体" w:hAnsi="宋体" w:cs="宋体"/>
          <w:color w:val="000000"/>
          <w:sz w:val="24"/>
          <w:szCs w:val="24"/>
          <w:highlight w:val="none"/>
          <w:lang w:val="en-US" w:eastAsia="zh-CN"/>
        </w:rPr>
        <w:t>乙方</w:t>
      </w:r>
      <w:r>
        <w:rPr>
          <w:rFonts w:hint="eastAsia" w:ascii="宋体" w:hAnsi="宋体" w:eastAsia="宋体" w:cs="宋体"/>
          <w:color w:val="000000"/>
          <w:sz w:val="24"/>
          <w:szCs w:val="24"/>
          <w:highlight w:val="none"/>
        </w:rPr>
        <w:t>自行承担。</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应确保其技术建议以及所提供的软硬件设备的完整性、实用性，保证升级后系统及时投入正常运行。若出现因</w:t>
      </w: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提供的软硬件设备不满足要求、不合理，或者其所提供的技术支持和服务不全面，而导致系统升级无法实现或不能完全实现的状况，</w:t>
      </w: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负全部责任。</w:t>
      </w:r>
    </w:p>
    <w:p>
      <w:pPr>
        <w:spacing w:line="360" w:lineRule="auto"/>
        <w:ind w:firstLine="482" w:firstLineChars="200"/>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所投设备提供</w:t>
      </w:r>
      <w:r>
        <w:rPr>
          <w:rFonts w:hint="eastAsia" w:ascii="宋体" w:hAnsi="宋体" w:cs="宋体"/>
          <w:b/>
          <w:bCs/>
          <w:color w:val="000000"/>
          <w:sz w:val="24"/>
          <w:szCs w:val="24"/>
          <w:highlight w:val="none"/>
          <w:u w:val="single"/>
          <w:lang w:val="en-US" w:eastAsia="zh-CN"/>
        </w:rPr>
        <w:t xml:space="preserve">    </w:t>
      </w:r>
      <w:r>
        <w:rPr>
          <w:rFonts w:hint="eastAsia" w:ascii="宋体" w:hAnsi="宋体" w:eastAsia="宋体" w:cs="宋体"/>
          <w:b/>
          <w:bCs/>
          <w:color w:val="000000"/>
          <w:sz w:val="24"/>
          <w:szCs w:val="24"/>
          <w:highlight w:val="none"/>
        </w:rPr>
        <w:t>年免费质保服务。</w:t>
      </w:r>
      <w:r>
        <w:rPr>
          <w:rFonts w:hint="eastAsia" w:ascii="宋体" w:hAnsi="宋体" w:eastAsia="宋体" w:cs="宋体"/>
          <w:color w:val="000000"/>
          <w:sz w:val="24"/>
          <w:szCs w:val="24"/>
          <w:highlight w:val="none"/>
        </w:rPr>
        <w:t>质保期自双方验收通过之日起计算。</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如果设备要求使用特别接头、光纤线、插座等，由</w:t>
      </w: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提供。另外，所投设备的用电保护超过一般线路保护，保护设备也由</w:t>
      </w: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提供，</w:t>
      </w:r>
      <w:r>
        <w:rPr>
          <w:rFonts w:hint="eastAsia" w:ascii="宋体" w:hAnsi="宋体" w:cs="宋体"/>
          <w:color w:val="000000"/>
          <w:sz w:val="24"/>
          <w:szCs w:val="24"/>
          <w:highlight w:val="none"/>
          <w:lang w:eastAsia="zh-CN"/>
        </w:rPr>
        <w:t>乙方</w:t>
      </w:r>
      <w:r>
        <w:rPr>
          <w:rFonts w:hint="eastAsia" w:ascii="宋体" w:hAnsi="宋体" w:eastAsia="宋体" w:cs="宋体"/>
          <w:color w:val="000000"/>
          <w:sz w:val="24"/>
          <w:szCs w:val="24"/>
          <w:highlight w:val="none"/>
        </w:rPr>
        <w:t>应将与此有关的费用计入设备价格费中，不得另外收取任何费用。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（2）安装调试</w:t>
      </w:r>
    </w:p>
    <w:p>
      <w:pPr>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eastAsia="zh-CN"/>
        </w:rPr>
        <w:t>乙方</w:t>
      </w:r>
      <w:r>
        <w:rPr>
          <w:rFonts w:hint="eastAsia" w:ascii="宋体" w:hAnsi="宋体" w:eastAsia="宋体" w:cs="宋体"/>
          <w:color w:val="000000"/>
          <w:sz w:val="24"/>
          <w:szCs w:val="24"/>
        </w:rPr>
        <w:t>必须立足于</w:t>
      </w:r>
      <w:r>
        <w:rPr>
          <w:rFonts w:hint="eastAsia" w:ascii="宋体" w:hAnsi="宋体" w:cs="宋体"/>
          <w:color w:val="000000"/>
          <w:sz w:val="24"/>
          <w:szCs w:val="24"/>
          <w:lang w:val="en-US" w:eastAsia="zh-CN"/>
        </w:rPr>
        <w:t>甲方</w:t>
      </w:r>
      <w:r>
        <w:rPr>
          <w:rFonts w:hint="eastAsia" w:ascii="宋体" w:hAnsi="宋体" w:eastAsia="宋体" w:cs="宋体"/>
          <w:color w:val="000000"/>
          <w:sz w:val="24"/>
          <w:szCs w:val="24"/>
        </w:rPr>
        <w:t>现场基础设施及应用系统现状，对</w:t>
      </w:r>
      <w:r>
        <w:rPr>
          <w:rFonts w:hint="eastAsia" w:ascii="宋体" w:hAnsi="宋体" w:cs="宋体"/>
          <w:color w:val="000000"/>
          <w:sz w:val="24"/>
          <w:szCs w:val="24"/>
          <w:lang w:val="en-US" w:eastAsia="zh-CN"/>
        </w:rPr>
        <w:t>本项目</w:t>
      </w:r>
      <w:r>
        <w:rPr>
          <w:rFonts w:hint="eastAsia" w:ascii="宋体" w:hAnsi="宋体" w:eastAsia="宋体" w:cs="宋体"/>
          <w:color w:val="000000"/>
          <w:sz w:val="24"/>
          <w:szCs w:val="24"/>
        </w:rPr>
        <w:t>需求深入研究的基础上，制定详细的系统技术方案和实施方案。</w:t>
      </w:r>
      <w:r>
        <w:rPr>
          <w:rFonts w:hint="eastAsia" w:ascii="宋体" w:hAnsi="宋体" w:cs="宋体"/>
          <w:color w:val="000000"/>
          <w:sz w:val="24"/>
          <w:szCs w:val="24"/>
          <w:lang w:eastAsia="zh-CN"/>
        </w:rPr>
        <w:t>乙方</w:t>
      </w:r>
      <w:r>
        <w:rPr>
          <w:rFonts w:hint="eastAsia" w:ascii="宋体" w:hAnsi="宋体" w:eastAsia="宋体" w:cs="宋体"/>
          <w:color w:val="000000"/>
          <w:sz w:val="24"/>
          <w:szCs w:val="24"/>
        </w:rPr>
        <w:t>应在施工前提供详细的施工实施方案，并提交</w:t>
      </w:r>
      <w:r>
        <w:rPr>
          <w:rFonts w:hint="eastAsia" w:ascii="宋体" w:hAnsi="宋体" w:cs="宋体"/>
          <w:color w:val="000000"/>
          <w:sz w:val="24"/>
          <w:szCs w:val="24"/>
          <w:lang w:eastAsia="zh-CN"/>
        </w:rPr>
        <w:t>甲方</w:t>
      </w:r>
      <w:r>
        <w:rPr>
          <w:rFonts w:hint="eastAsia" w:ascii="宋体" w:hAnsi="宋体" w:eastAsia="宋体" w:cs="宋体"/>
          <w:color w:val="000000"/>
          <w:sz w:val="24"/>
          <w:szCs w:val="24"/>
        </w:rPr>
        <w:t>认可。</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(3）验收</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设备到货后，</w:t>
      </w:r>
      <w:r>
        <w:rPr>
          <w:rFonts w:hint="eastAsia" w:ascii="宋体" w:hAnsi="宋体" w:cs="宋体"/>
          <w:color w:val="000000"/>
          <w:sz w:val="24"/>
          <w:szCs w:val="24"/>
          <w:lang w:eastAsia="zh-CN"/>
        </w:rPr>
        <w:t>甲方</w:t>
      </w:r>
      <w:r>
        <w:rPr>
          <w:rFonts w:hint="eastAsia" w:ascii="宋体" w:hAnsi="宋体" w:eastAsia="宋体" w:cs="宋体"/>
          <w:color w:val="000000"/>
          <w:sz w:val="24"/>
          <w:szCs w:val="24"/>
        </w:rPr>
        <w:t>与</w:t>
      </w:r>
      <w:r>
        <w:rPr>
          <w:rFonts w:hint="eastAsia" w:ascii="宋体" w:hAnsi="宋体" w:cs="宋体"/>
          <w:color w:val="000000"/>
          <w:sz w:val="24"/>
          <w:szCs w:val="24"/>
          <w:lang w:eastAsia="zh-CN"/>
        </w:rPr>
        <w:t>乙方</w:t>
      </w:r>
      <w:r>
        <w:rPr>
          <w:rFonts w:hint="eastAsia" w:ascii="宋体" w:hAnsi="宋体" w:eastAsia="宋体" w:cs="宋体"/>
          <w:color w:val="000000"/>
          <w:sz w:val="24"/>
          <w:szCs w:val="24"/>
        </w:rPr>
        <w:t>共同配合有关部门对所有设备进行开箱检查，出现损坏、数量不全或产品不对等问题时，由</w:t>
      </w:r>
      <w:r>
        <w:rPr>
          <w:rFonts w:hint="eastAsia" w:ascii="宋体" w:hAnsi="宋体" w:cs="宋体"/>
          <w:color w:val="000000"/>
          <w:sz w:val="24"/>
          <w:szCs w:val="24"/>
          <w:lang w:eastAsia="zh-CN"/>
        </w:rPr>
        <w:t>乙方</w:t>
      </w:r>
      <w:r>
        <w:rPr>
          <w:rFonts w:hint="eastAsia" w:ascii="宋体" w:hAnsi="宋体" w:eastAsia="宋体" w:cs="宋体"/>
          <w:color w:val="000000"/>
          <w:sz w:val="24"/>
          <w:szCs w:val="24"/>
        </w:rPr>
        <w:t>负责解决。</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设备系统集成后，由</w:t>
      </w:r>
      <w:r>
        <w:rPr>
          <w:rFonts w:hint="eastAsia" w:ascii="宋体" w:hAnsi="宋体" w:cs="宋体"/>
          <w:color w:val="000000"/>
          <w:sz w:val="24"/>
          <w:szCs w:val="24"/>
          <w:lang w:eastAsia="zh-CN"/>
        </w:rPr>
        <w:t>乙方</w:t>
      </w:r>
      <w:r>
        <w:rPr>
          <w:rFonts w:hint="eastAsia" w:ascii="宋体" w:hAnsi="宋体" w:eastAsia="宋体" w:cs="宋体"/>
          <w:color w:val="000000"/>
          <w:sz w:val="24"/>
          <w:szCs w:val="24"/>
        </w:rPr>
        <w:t>制定测试方案并经</w:t>
      </w:r>
      <w:r>
        <w:rPr>
          <w:rFonts w:hint="eastAsia" w:ascii="宋体" w:hAnsi="宋体" w:cs="宋体"/>
          <w:color w:val="000000"/>
          <w:sz w:val="24"/>
          <w:szCs w:val="24"/>
          <w:lang w:eastAsia="zh-CN"/>
        </w:rPr>
        <w:t>甲方</w:t>
      </w:r>
      <w:r>
        <w:rPr>
          <w:rFonts w:hint="eastAsia" w:ascii="宋体" w:hAnsi="宋体" w:eastAsia="宋体" w:cs="宋体"/>
          <w:color w:val="000000"/>
          <w:sz w:val="24"/>
          <w:szCs w:val="24"/>
        </w:rPr>
        <w:t>确认后，对产品的性能和配置进行测试检查，并形成测试报告。</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测试过程中出现设备产品性能指标或功能上不符合标书要求时，</w:t>
      </w:r>
      <w:r>
        <w:rPr>
          <w:rFonts w:hint="eastAsia" w:ascii="宋体" w:hAnsi="宋体" w:cs="宋体"/>
          <w:color w:val="000000"/>
          <w:sz w:val="24"/>
          <w:szCs w:val="24"/>
          <w:lang w:eastAsia="zh-CN"/>
        </w:rPr>
        <w:t>甲方</w:t>
      </w:r>
      <w:r>
        <w:rPr>
          <w:rFonts w:hint="eastAsia" w:ascii="宋体" w:hAnsi="宋体" w:eastAsia="宋体" w:cs="宋体"/>
          <w:color w:val="000000"/>
          <w:sz w:val="24"/>
          <w:szCs w:val="24"/>
        </w:rPr>
        <w:t>有拒收的权利。</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测试过程中出现不符合标书和合同要求的严重质量问题时，</w:t>
      </w:r>
      <w:r>
        <w:rPr>
          <w:rFonts w:hint="eastAsia" w:ascii="宋体" w:hAnsi="宋体" w:cs="宋体"/>
          <w:color w:val="000000"/>
          <w:sz w:val="24"/>
          <w:szCs w:val="24"/>
          <w:lang w:eastAsia="zh-CN"/>
        </w:rPr>
        <w:t>甲方</w:t>
      </w:r>
      <w:r>
        <w:rPr>
          <w:rFonts w:hint="eastAsia" w:ascii="宋体" w:hAnsi="宋体" w:eastAsia="宋体" w:cs="宋体"/>
          <w:color w:val="000000"/>
          <w:sz w:val="24"/>
          <w:szCs w:val="24"/>
        </w:rPr>
        <w:t>保留索赔权利。</w:t>
      </w:r>
    </w:p>
    <w:p>
      <w:pPr>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3、服务要求</w:t>
      </w:r>
    </w:p>
    <w:p>
      <w:pPr>
        <w:snapToGrid w:val="0"/>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质保期内，</w:t>
      </w:r>
      <w:r>
        <w:rPr>
          <w:rFonts w:hint="eastAsia" w:ascii="宋体" w:hAnsi="宋体" w:cs="宋体"/>
          <w:color w:val="000000"/>
          <w:sz w:val="24"/>
          <w:szCs w:val="24"/>
          <w:highlight w:val="none"/>
          <w:lang w:val="en-US" w:eastAsia="zh-CN"/>
        </w:rPr>
        <w:t>甲方</w:t>
      </w:r>
      <w:r>
        <w:rPr>
          <w:rFonts w:hint="eastAsia" w:ascii="宋体" w:hAnsi="宋体" w:eastAsia="宋体" w:cs="宋体"/>
          <w:color w:val="000000"/>
          <w:sz w:val="24"/>
          <w:szCs w:val="24"/>
          <w:highlight w:val="none"/>
          <w:lang w:val="en-US" w:eastAsia="zh-CN"/>
        </w:rPr>
        <w:t>遇有重大活动时，</w:t>
      </w:r>
      <w:r>
        <w:rPr>
          <w:rFonts w:hint="eastAsia" w:ascii="宋体" w:hAnsi="宋体" w:cs="宋体"/>
          <w:color w:val="000000"/>
          <w:sz w:val="24"/>
          <w:szCs w:val="24"/>
          <w:highlight w:val="none"/>
          <w:lang w:val="en-US" w:eastAsia="zh-CN"/>
        </w:rPr>
        <w:t>乙方</w:t>
      </w:r>
      <w:r>
        <w:rPr>
          <w:rFonts w:hint="eastAsia" w:ascii="宋体" w:hAnsi="宋体" w:eastAsia="宋体" w:cs="宋体"/>
          <w:color w:val="000000"/>
          <w:sz w:val="24"/>
          <w:szCs w:val="24"/>
          <w:highlight w:val="none"/>
          <w:lang w:val="en-US" w:eastAsia="zh-CN"/>
        </w:rPr>
        <w:t>在</w:t>
      </w:r>
      <w:r>
        <w:rPr>
          <w:rFonts w:hint="eastAsia" w:ascii="宋体" w:hAnsi="宋体" w:cs="宋体"/>
          <w:color w:val="000000"/>
          <w:sz w:val="24"/>
          <w:szCs w:val="24"/>
          <w:highlight w:val="none"/>
          <w:lang w:val="en-US" w:eastAsia="zh-CN"/>
        </w:rPr>
        <w:t>甲方</w:t>
      </w:r>
      <w:r>
        <w:rPr>
          <w:rFonts w:hint="eastAsia" w:ascii="宋体" w:hAnsi="宋体" w:eastAsia="宋体" w:cs="宋体"/>
          <w:color w:val="000000"/>
          <w:sz w:val="24"/>
          <w:szCs w:val="24"/>
          <w:highlight w:val="none"/>
          <w:lang w:val="en-US" w:eastAsia="zh-CN"/>
        </w:rPr>
        <w:t>规定时间内指派专业技术人员到达现场实施保障服务，以确保</w:t>
      </w:r>
      <w:r>
        <w:rPr>
          <w:rFonts w:hint="eastAsia" w:ascii="宋体" w:hAnsi="宋体" w:cs="宋体"/>
          <w:color w:val="000000"/>
          <w:sz w:val="24"/>
          <w:szCs w:val="24"/>
          <w:highlight w:val="none"/>
          <w:lang w:val="en-US" w:eastAsia="zh-CN"/>
        </w:rPr>
        <w:t>甲方</w:t>
      </w:r>
      <w:r>
        <w:rPr>
          <w:rFonts w:hint="eastAsia" w:ascii="宋体" w:hAnsi="宋体" w:eastAsia="宋体" w:cs="宋体"/>
          <w:color w:val="000000"/>
          <w:sz w:val="24"/>
          <w:szCs w:val="24"/>
          <w:highlight w:val="none"/>
          <w:lang w:val="en-US" w:eastAsia="zh-CN"/>
        </w:rPr>
        <w:t>特殊时期工作不发生中断。</w:t>
      </w:r>
    </w:p>
    <w:p>
      <w:pPr>
        <w:numPr>
          <w:ilvl w:val="0"/>
          <w:numId w:val="0"/>
        </w:numPr>
        <w:snapToGrid w:val="0"/>
        <w:spacing w:line="480" w:lineRule="exact"/>
        <w:ind w:firstLine="480" w:firstLineChars="200"/>
        <w:outlineLvl w:val="1"/>
        <w:rPr>
          <w:rFonts w:hint="eastAsia" w:hAnsi="宋体" w:cs="宋体"/>
          <w:bCs/>
          <w:sz w:val="24"/>
          <w:szCs w:val="24"/>
          <w:highlight w:val="none"/>
          <w:lang w:eastAsia="zh-CN"/>
        </w:rPr>
      </w:pPr>
      <w:r>
        <w:rPr>
          <w:rFonts w:hint="eastAsia" w:hAnsi="宋体" w:cs="宋体"/>
          <w:bCs/>
          <w:sz w:val="24"/>
          <w:szCs w:val="24"/>
          <w:highlight w:val="none"/>
          <w:lang w:val="en-US" w:eastAsia="zh-CN"/>
        </w:rPr>
        <w:t>五、</w:t>
      </w:r>
      <w:r>
        <w:rPr>
          <w:rFonts w:hint="eastAsia" w:hAnsi="宋体" w:cs="宋体"/>
          <w:bCs/>
          <w:sz w:val="24"/>
          <w:szCs w:val="24"/>
          <w:highlight w:val="none"/>
          <w:lang w:eastAsia="zh-CN"/>
        </w:rPr>
        <w:t>履约保证金。</w:t>
      </w:r>
    </w:p>
    <w:p>
      <w:pPr>
        <w:numPr>
          <w:ilvl w:val="0"/>
          <w:numId w:val="0"/>
        </w:numPr>
        <w:snapToGrid w:val="0"/>
        <w:spacing w:line="480" w:lineRule="exact"/>
        <w:outlineLvl w:val="1"/>
        <w:rPr>
          <w:rFonts w:hint="eastAsia" w:hAnsi="宋体" w:cs="宋体"/>
          <w:bCs/>
          <w:sz w:val="24"/>
          <w:szCs w:val="24"/>
          <w:highlight w:val="none"/>
        </w:rPr>
      </w:pPr>
      <w:r>
        <w:rPr>
          <w:rFonts w:hint="eastAsia" w:hAnsi="宋体" w:cs="宋体"/>
          <w:bCs/>
          <w:sz w:val="24"/>
          <w:szCs w:val="24"/>
          <w:highlight w:val="none"/>
          <w:lang w:val="en-US" w:eastAsia="zh-CN"/>
        </w:rPr>
        <w:t xml:space="preserve">    1、</w:t>
      </w:r>
      <w:r>
        <w:rPr>
          <w:rFonts w:hint="eastAsia" w:ascii="宋体" w:hAnsi="宋体" w:cs="宋体"/>
          <w:sz w:val="24"/>
          <w:highlight w:val="none"/>
        </w:rPr>
        <w:t>乙方按</w:t>
      </w:r>
      <w:r>
        <w:rPr>
          <w:rFonts w:hint="eastAsia" w:ascii="宋体" w:hAnsi="宋体" w:cs="宋体"/>
          <w:sz w:val="24"/>
          <w:highlight w:val="none"/>
          <w:lang w:eastAsia="zh-CN"/>
        </w:rPr>
        <w:t>谈判文件</w:t>
      </w:r>
      <w:r>
        <w:rPr>
          <w:rFonts w:hint="eastAsia" w:ascii="宋体" w:hAnsi="宋体" w:cs="宋体"/>
          <w:sz w:val="24"/>
          <w:highlight w:val="none"/>
        </w:rPr>
        <w:t>规定缴纳了</w:t>
      </w:r>
      <w:r>
        <w:rPr>
          <w:rFonts w:hint="eastAsia" w:ascii="宋体" w:hAnsi="宋体" w:cs="宋体"/>
          <w:bCs/>
          <w:kern w:val="0"/>
          <w:sz w:val="24"/>
          <w:szCs w:val="24"/>
          <w:highlight w:val="none"/>
          <w:u w:val="single"/>
          <w:lang w:val="en-US" w:eastAsia="zh-CN"/>
        </w:rPr>
        <w:t xml:space="preserve">       </w:t>
      </w:r>
      <w:r>
        <w:rPr>
          <w:rFonts w:hint="eastAsia" w:hAnsi="宋体" w:cs="宋体"/>
          <w:bCs/>
          <w:sz w:val="24"/>
          <w:szCs w:val="24"/>
          <w:highlight w:val="none"/>
          <w:u w:val="single"/>
          <w:lang w:val="en-US" w:eastAsia="zh-CN"/>
        </w:rPr>
        <w:t>元</w:t>
      </w:r>
      <w:r>
        <w:rPr>
          <w:rFonts w:hint="eastAsia" w:hAnsi="宋体" w:cs="宋体"/>
          <w:bCs/>
          <w:sz w:val="24"/>
          <w:szCs w:val="24"/>
          <w:highlight w:val="none"/>
          <w:lang w:val="en-US" w:eastAsia="zh-CN"/>
        </w:rPr>
        <w:t>履约保证金。</w:t>
      </w:r>
      <w:r>
        <w:rPr>
          <w:rFonts w:hint="eastAsia" w:hAnsi="宋体" w:cs="宋体"/>
          <w:bCs/>
          <w:sz w:val="24"/>
          <w:szCs w:val="24"/>
          <w:highlight w:val="none"/>
          <w:lang w:eastAsia="zh-CN"/>
        </w:rPr>
        <w:t>乙方</w:t>
      </w:r>
      <w:r>
        <w:rPr>
          <w:rFonts w:hint="eastAsia" w:hAnsi="宋体" w:cs="宋体"/>
          <w:bCs/>
          <w:sz w:val="24"/>
          <w:szCs w:val="24"/>
          <w:highlight w:val="none"/>
        </w:rPr>
        <w:t>在按要求保质保量的完成该项目合同并通过验收后，</w:t>
      </w:r>
      <w:r>
        <w:rPr>
          <w:rFonts w:hint="eastAsia" w:hAnsi="宋体" w:cs="宋体"/>
          <w:bCs/>
          <w:sz w:val="24"/>
          <w:szCs w:val="24"/>
          <w:highlight w:val="none"/>
          <w:lang w:eastAsia="zh-CN"/>
        </w:rPr>
        <w:t>甲方</w:t>
      </w:r>
      <w:r>
        <w:rPr>
          <w:rFonts w:hint="eastAsia" w:hAnsi="宋体" w:cs="宋体"/>
          <w:bCs/>
          <w:sz w:val="24"/>
          <w:szCs w:val="24"/>
          <w:highlight w:val="none"/>
        </w:rPr>
        <w:t>凭</w:t>
      </w:r>
      <w:r>
        <w:rPr>
          <w:rFonts w:hint="eastAsia" w:hAnsi="宋体" w:cs="宋体"/>
          <w:bCs/>
          <w:sz w:val="24"/>
          <w:szCs w:val="24"/>
          <w:highlight w:val="none"/>
          <w:lang w:eastAsia="zh-CN"/>
        </w:rPr>
        <w:t>乙方</w:t>
      </w:r>
      <w:r>
        <w:rPr>
          <w:rFonts w:hint="eastAsia" w:hAnsi="宋体" w:cs="宋体"/>
          <w:bCs/>
          <w:sz w:val="24"/>
          <w:szCs w:val="24"/>
          <w:highlight w:val="none"/>
        </w:rPr>
        <w:t>提交的申请，一次性无息退还该合同项目的履约保证金。</w:t>
      </w:r>
    </w:p>
    <w:p>
      <w:pPr>
        <w:snapToGrid w:val="0"/>
        <w:spacing w:line="480" w:lineRule="exact"/>
        <w:ind w:firstLine="494" w:firstLineChars="206"/>
        <w:outlineLvl w:val="1"/>
        <w:rPr>
          <w:rFonts w:hint="eastAsia"/>
          <w:highlight w:val="none"/>
        </w:rPr>
      </w:pPr>
      <w:r>
        <w:rPr>
          <w:rFonts w:hint="eastAsia" w:hAnsi="宋体" w:cs="宋体"/>
          <w:bCs/>
          <w:sz w:val="24"/>
          <w:szCs w:val="24"/>
          <w:highlight w:val="none"/>
          <w:lang w:val="en-US" w:eastAsia="zh-CN"/>
        </w:rPr>
        <w:t>2</w:t>
      </w:r>
      <w:r>
        <w:rPr>
          <w:rFonts w:hint="eastAsia" w:hAnsi="宋体" w:cs="宋体"/>
          <w:bCs/>
          <w:sz w:val="24"/>
          <w:szCs w:val="24"/>
          <w:highlight w:val="none"/>
        </w:rPr>
        <w:t>、由于</w:t>
      </w:r>
      <w:r>
        <w:rPr>
          <w:rFonts w:hint="eastAsia" w:hAnsi="宋体" w:cs="宋体"/>
          <w:bCs/>
          <w:sz w:val="24"/>
          <w:szCs w:val="24"/>
          <w:highlight w:val="none"/>
          <w:lang w:eastAsia="zh-CN"/>
        </w:rPr>
        <w:t>乙方</w:t>
      </w:r>
      <w:r>
        <w:rPr>
          <w:rFonts w:hint="eastAsia" w:hAnsi="宋体" w:cs="宋体"/>
          <w:bCs/>
          <w:sz w:val="24"/>
          <w:szCs w:val="24"/>
          <w:highlight w:val="none"/>
        </w:rPr>
        <w:t>原因，在签订合同后出现不按合同履行的情况，</w:t>
      </w:r>
      <w:r>
        <w:rPr>
          <w:rFonts w:hint="eastAsia" w:hAnsi="宋体" w:cs="宋体"/>
          <w:bCs/>
          <w:sz w:val="24"/>
          <w:szCs w:val="24"/>
          <w:highlight w:val="none"/>
          <w:lang w:eastAsia="zh-CN"/>
        </w:rPr>
        <w:t>甲方</w:t>
      </w:r>
      <w:r>
        <w:rPr>
          <w:rFonts w:hint="eastAsia" w:hAnsi="宋体" w:cs="宋体"/>
          <w:bCs/>
          <w:sz w:val="24"/>
          <w:szCs w:val="24"/>
          <w:highlight w:val="none"/>
        </w:rPr>
        <w:t>有权将履约保证金作为违约金，全额不予退还，同时</w:t>
      </w:r>
      <w:r>
        <w:rPr>
          <w:rFonts w:hint="eastAsia" w:hAnsi="宋体" w:cs="宋体"/>
          <w:bCs/>
          <w:sz w:val="24"/>
          <w:szCs w:val="24"/>
          <w:highlight w:val="none"/>
          <w:lang w:eastAsia="zh-CN"/>
        </w:rPr>
        <w:t>甲方</w:t>
      </w:r>
      <w:r>
        <w:rPr>
          <w:rFonts w:hint="eastAsia" w:hAnsi="宋体" w:cs="宋体"/>
          <w:bCs/>
          <w:sz w:val="24"/>
          <w:szCs w:val="24"/>
          <w:highlight w:val="none"/>
        </w:rPr>
        <w:t>亦有权终止合同，</w:t>
      </w:r>
      <w:r>
        <w:rPr>
          <w:rFonts w:hint="eastAsia" w:hAnsi="宋体" w:cs="宋体"/>
          <w:bCs/>
          <w:sz w:val="24"/>
          <w:szCs w:val="24"/>
          <w:highlight w:val="none"/>
          <w:lang w:eastAsia="zh-CN"/>
        </w:rPr>
        <w:t>乙方</w:t>
      </w:r>
      <w:r>
        <w:rPr>
          <w:rFonts w:hint="eastAsia" w:hAnsi="宋体" w:cs="宋体"/>
          <w:bCs/>
          <w:sz w:val="24"/>
          <w:szCs w:val="24"/>
          <w:highlight w:val="none"/>
        </w:rPr>
        <w:t>还须承担相应的法律赔偿责任。</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、包装</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乙方提供的设备必须为原包装，在送交甲方验收前不得拆箱。产品的外观、包装、运输应按国家规定或部颁标准执行，如因供方包装不当以及其它原因造成损坏或丢失，应由供方负一切责任。</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七</w:t>
      </w:r>
      <w:r>
        <w:rPr>
          <w:rFonts w:hint="eastAsia" w:ascii="宋体" w:hAnsi="宋体" w:eastAsia="宋体" w:cs="宋体"/>
          <w:sz w:val="24"/>
          <w:szCs w:val="24"/>
        </w:rPr>
        <w:t>、标的物的交付</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标的物的所有权自标的物交付时转移。</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乙方应当按照约定的期限和约定的地点交付标的物。</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乙方应当按照约定或者交易习惯向甲方交付提取标的物单证以外的有关单证和资料。</w:t>
      </w:r>
    </w:p>
    <w:p>
      <w:pPr>
        <w:spacing w:line="50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产品设备交货、安装调试服务</w:t>
      </w:r>
    </w:p>
    <w:p>
      <w:pPr>
        <w:spacing w:line="50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 xml:space="preserve">产品设备交付： </w:t>
      </w:r>
    </w:p>
    <w:p>
      <w:pPr>
        <w:spacing w:line="5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① 交货地点：产品设备送至甲方指定的地点并负责安装、调试。</w:t>
      </w:r>
    </w:p>
    <w:p>
      <w:pPr>
        <w:spacing w:line="50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② </w:t>
      </w:r>
      <w:r>
        <w:rPr>
          <w:rFonts w:hint="eastAsia" w:ascii="宋体" w:hAnsi="宋体" w:eastAsia="宋体" w:cs="宋体"/>
          <w:kern w:val="0"/>
          <w:sz w:val="24"/>
          <w:szCs w:val="24"/>
          <w:highlight w:val="none"/>
          <w:lang w:val="en-US" w:eastAsia="zh-CN"/>
        </w:rPr>
        <w:t>所有产品交货时，产品合格证须提供给甲方备案。</w:t>
      </w:r>
    </w:p>
    <w:p>
      <w:pPr>
        <w:spacing w:line="500" w:lineRule="exact"/>
        <w:ind w:firstLine="484" w:firstLineChars="202"/>
        <w:rPr>
          <w:rFonts w:hint="default" w:ascii="宋体" w:hAnsi="宋体" w:eastAsia="宋体" w:cs="宋体"/>
          <w:kern w:val="0"/>
          <w:sz w:val="24"/>
          <w:szCs w:val="24"/>
          <w:lang w:val="en-US" w:eastAsia="zh-CN"/>
        </w:rPr>
      </w:pPr>
      <w:r>
        <w:rPr>
          <w:rFonts w:hint="eastAsia" w:ascii="宋体" w:hAnsi="宋体" w:eastAsia="宋体" w:cs="宋体"/>
          <w:kern w:val="0"/>
          <w:sz w:val="24"/>
          <w:szCs w:val="24"/>
          <w:highlight w:val="none"/>
          <w:lang w:val="en-US" w:eastAsia="zh-CN"/>
        </w:rPr>
        <w:fldChar w:fldCharType="begin"/>
      </w:r>
      <w:r>
        <w:rPr>
          <w:rFonts w:hint="eastAsia" w:ascii="宋体" w:hAnsi="宋体" w:eastAsia="宋体" w:cs="宋体"/>
          <w:kern w:val="0"/>
          <w:sz w:val="24"/>
          <w:szCs w:val="24"/>
          <w:highlight w:val="none"/>
          <w:lang w:val="en-US" w:eastAsia="zh-CN"/>
        </w:rPr>
        <w:instrText xml:space="preserve"> = 3 \* GB3 \* MERGEFORMAT </w:instrText>
      </w:r>
      <w:r>
        <w:rPr>
          <w:rFonts w:hint="eastAsia" w:ascii="宋体" w:hAnsi="宋体" w:eastAsia="宋体" w:cs="宋体"/>
          <w:kern w:val="0"/>
          <w:sz w:val="24"/>
          <w:szCs w:val="24"/>
          <w:highlight w:val="none"/>
          <w:lang w:val="en-US" w:eastAsia="zh-CN"/>
        </w:rPr>
        <w:fldChar w:fldCharType="separate"/>
      </w:r>
      <w:r>
        <w:rPr>
          <w:rFonts w:hint="eastAsia" w:ascii="宋体" w:hAnsi="宋体" w:eastAsia="宋体" w:cs="宋体"/>
          <w:kern w:val="0"/>
          <w:sz w:val="24"/>
          <w:szCs w:val="24"/>
          <w:highlight w:val="none"/>
          <w:lang w:val="en-US" w:eastAsia="zh-CN"/>
        </w:rPr>
        <w:t>③</w:t>
      </w:r>
      <w:r>
        <w:rPr>
          <w:rFonts w:hint="eastAsia" w:ascii="宋体" w:hAnsi="宋体" w:eastAsia="宋体" w:cs="宋体"/>
          <w:kern w:val="0"/>
          <w:sz w:val="24"/>
          <w:szCs w:val="24"/>
          <w:highlight w:val="none"/>
          <w:lang w:val="en-US" w:eastAsia="zh-CN"/>
        </w:rPr>
        <w:fldChar w:fldCharType="end"/>
      </w: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rPr>
        <w:t>货物</w:t>
      </w:r>
      <w:r>
        <w:rPr>
          <w:rFonts w:hint="eastAsia" w:ascii="宋体" w:hAnsi="宋体" w:eastAsia="宋体" w:cs="宋体"/>
          <w:kern w:val="0"/>
          <w:sz w:val="24"/>
          <w:szCs w:val="24"/>
        </w:rPr>
        <w:t>装卸、运输涉及到的保险，其费用包含在合同总价中。</w:t>
      </w:r>
    </w:p>
    <w:p>
      <w:pPr>
        <w:spacing w:line="5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（2）乙方应在签定合同后</w:t>
      </w:r>
      <w:r>
        <w:rPr>
          <w:rFonts w:hint="eastAsia" w:ascii="宋体" w:hAnsi="宋体" w:cs="宋体"/>
          <w:kern w:val="0"/>
          <w:sz w:val="24"/>
          <w:szCs w:val="24"/>
          <w:lang w:val="en-US" w:eastAsia="zh-CN"/>
        </w:rPr>
        <w:t>60</w:t>
      </w:r>
      <w:r>
        <w:rPr>
          <w:rFonts w:hint="eastAsia" w:ascii="宋体" w:hAnsi="宋体" w:eastAsia="宋体" w:cs="宋体"/>
          <w:kern w:val="0"/>
          <w:sz w:val="24"/>
          <w:szCs w:val="24"/>
          <w:lang w:val="en-US" w:eastAsia="zh-CN"/>
        </w:rPr>
        <w:t>个日历天内，供货到指定位置并完成设备安装、调试、相关改造的施工并具备验收条件</w:t>
      </w:r>
    </w:p>
    <w:p>
      <w:pPr>
        <w:spacing w:line="500" w:lineRule="exact"/>
        <w:ind w:firstLine="484" w:firstLineChars="202"/>
        <w:rPr>
          <w:rFonts w:hint="eastAsia" w:ascii="宋体" w:hAnsi="宋体" w:eastAsia="宋体" w:cs="宋体"/>
          <w:sz w:val="24"/>
          <w:szCs w:val="24"/>
          <w:highlight w:val="none"/>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乙方发货到</w:t>
      </w:r>
      <w:r>
        <w:rPr>
          <w:rFonts w:hint="eastAsia" w:ascii="宋体" w:hAnsi="宋体" w:eastAsia="宋体" w:cs="宋体"/>
          <w:sz w:val="24"/>
          <w:szCs w:val="24"/>
          <w:highlight w:val="none"/>
        </w:rPr>
        <w:t>甲方指定地点前应先告知</w:t>
      </w:r>
      <w:r>
        <w:rPr>
          <w:rFonts w:hint="eastAsia" w:ascii="宋体" w:hAnsi="宋体" w:cs="宋体"/>
          <w:sz w:val="24"/>
          <w:szCs w:val="24"/>
          <w:highlight w:val="none"/>
          <w:lang w:eastAsia="zh-CN"/>
        </w:rPr>
        <w:t>甲方</w:t>
      </w:r>
      <w:r>
        <w:rPr>
          <w:rFonts w:hint="eastAsia" w:ascii="宋体" w:hAnsi="宋体" w:eastAsia="宋体" w:cs="宋体"/>
          <w:sz w:val="24"/>
          <w:szCs w:val="24"/>
          <w:highlight w:val="none"/>
        </w:rPr>
        <w:t>。</w:t>
      </w:r>
    </w:p>
    <w:p>
      <w:pPr>
        <w:spacing w:line="500" w:lineRule="exact"/>
        <w:ind w:firstLine="484" w:firstLineChars="20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（4）全部货物的外包装必须采用防漏、防潮、防震、防锈、防盗和考虑到可能会发生的野蛮装卸等长途运输及多次装卸之需要。如因乙方包装不当以及其它原因造成损坏或丢失，应由乙方负一切责任。</w:t>
      </w:r>
    </w:p>
    <w:p>
      <w:pPr>
        <w:spacing w:line="50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交货及安装地点：</w:t>
      </w:r>
      <w:r>
        <w:rPr>
          <w:rFonts w:hint="eastAsia" w:ascii="宋体" w:hAnsi="宋体" w:eastAsia="宋体" w:cs="宋体"/>
          <w:kern w:val="0"/>
          <w:sz w:val="24"/>
          <w:szCs w:val="24"/>
          <w:u w:val="single"/>
        </w:rPr>
        <w:t>甲方指定地点</w:t>
      </w:r>
      <w:r>
        <w:rPr>
          <w:rFonts w:hint="eastAsia" w:ascii="宋体" w:hAnsi="宋体" w:eastAsia="宋体" w:cs="宋体"/>
          <w:kern w:val="0"/>
          <w:sz w:val="24"/>
          <w:szCs w:val="24"/>
        </w:rPr>
        <w:t>。</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、伴随服务</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乙方除应履行按期按量交付合格标的物的义务外，还应当提供下列服务：</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标的物的现场安装、启动、调试、监督（如果必须安装、调试的话）；</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提供标的物组装和一般维修所必需的工具；</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在合同规定的期限内对所提供的标的物实行运行监督、维修服务的前提条件是该服务并不能免除乙方在质量保证期内所承担的义务；</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对甲方技术人员的技术指导或培训。</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除合同另有规定之外，伴随服务的费用均已含在合同价款中，甲方不再另行支付。</w:t>
      </w:r>
    </w:p>
    <w:p>
      <w:pPr>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、售后服务</w:t>
      </w:r>
    </w:p>
    <w:p>
      <w:pPr>
        <w:numPr>
          <w:ilvl w:val="0"/>
          <w:numId w:val="0"/>
        </w:num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b w:val="0"/>
          <w:bCs/>
          <w:sz w:val="24"/>
          <w:szCs w:val="24"/>
          <w:lang w:val="en-US" w:eastAsia="zh-CN"/>
        </w:rPr>
        <w:t>1、</w:t>
      </w:r>
      <w:r>
        <w:rPr>
          <w:rFonts w:hint="eastAsia" w:ascii="宋体" w:hAnsi="宋体" w:eastAsia="宋体" w:cs="宋体"/>
          <w:b/>
          <w:bCs/>
          <w:color w:val="000000"/>
          <w:sz w:val="24"/>
          <w:szCs w:val="24"/>
          <w:highlight w:val="none"/>
        </w:rPr>
        <w:t>所投设备提供</w:t>
      </w:r>
      <w:r>
        <w:rPr>
          <w:rFonts w:hint="eastAsia" w:ascii="宋体" w:hAnsi="宋体" w:cs="宋体"/>
          <w:b/>
          <w:bCs/>
          <w:color w:val="000000"/>
          <w:sz w:val="24"/>
          <w:szCs w:val="24"/>
          <w:highlight w:val="none"/>
          <w:u w:val="single"/>
          <w:lang w:val="en-US" w:eastAsia="zh-CN"/>
        </w:rPr>
        <w:t xml:space="preserve">   </w:t>
      </w:r>
      <w:r>
        <w:rPr>
          <w:rFonts w:hint="eastAsia" w:ascii="宋体" w:hAnsi="宋体" w:eastAsia="宋体" w:cs="宋体"/>
          <w:b/>
          <w:bCs/>
          <w:color w:val="000000"/>
          <w:sz w:val="24"/>
          <w:szCs w:val="24"/>
          <w:highlight w:val="none"/>
        </w:rPr>
        <w:t>年免费质保服务。</w:t>
      </w:r>
      <w:r>
        <w:rPr>
          <w:rFonts w:hint="eastAsia" w:ascii="宋体" w:hAnsi="宋体" w:eastAsia="宋体" w:cs="宋体"/>
          <w:color w:val="000000"/>
          <w:sz w:val="24"/>
          <w:szCs w:val="24"/>
          <w:highlight w:val="none"/>
        </w:rPr>
        <w:t>质保期自双方验收通过之日起计算。</w:t>
      </w:r>
    </w:p>
    <w:p>
      <w:pPr>
        <w:snapToGrid w:val="0"/>
        <w:spacing w:line="480" w:lineRule="exact"/>
        <w:ind w:firstLine="494" w:firstLineChars="206"/>
        <w:outlineLvl w:val="1"/>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、设备在质保期内发生软、硬件故障，乙方应及时予以响应，免费上门服务。否则甲方将自行采取必要的措施，由此产生风险和费用应由乙方承担。质保期从验收合格签字之日开始计算，乙方同时提供</w:t>
      </w:r>
      <w:r>
        <w:rPr>
          <w:rFonts w:hint="eastAsia" w:ascii="宋体" w:hAnsi="宋体" w:cs="宋体"/>
          <w:sz w:val="24"/>
          <w:szCs w:val="24"/>
          <w:u w:val="single"/>
          <w:lang w:val="en-US" w:eastAsia="zh-CN"/>
        </w:rPr>
        <w:t xml:space="preserve">     </w:t>
      </w:r>
      <w:r>
        <w:rPr>
          <w:rFonts w:hint="eastAsia" w:ascii="宋体" w:hAnsi="宋体" w:eastAsia="宋体" w:cs="宋体"/>
          <w:sz w:val="24"/>
          <w:szCs w:val="24"/>
          <w:lang w:val="en-US" w:eastAsia="zh-CN"/>
        </w:rPr>
        <w:t>年的免费技术支持服务，包含软硬件故障处理，坏件更换，不计次数的现场服务等。</w:t>
      </w:r>
    </w:p>
    <w:p>
      <w:pPr>
        <w:tabs>
          <w:tab w:val="left" w:pos="5325"/>
        </w:tabs>
        <w:snapToGrid w:val="0"/>
        <w:spacing w:line="560" w:lineRule="exact"/>
        <w:ind w:firstLine="480" w:firstLineChars="200"/>
        <w:contextualSpacing/>
        <w:rPr>
          <w:rFonts w:hint="default" w:ascii="宋体" w:hAnsi="宋体"/>
          <w:b w:val="0"/>
          <w:bCs/>
          <w:sz w:val="24"/>
          <w:szCs w:val="24"/>
          <w:lang w:val="en-US" w:eastAsia="zh-CN"/>
        </w:rPr>
      </w:pPr>
      <w:r>
        <w:rPr>
          <w:rFonts w:hint="eastAsia" w:ascii="宋体" w:hAnsi="宋体" w:eastAsia="宋体" w:cs="宋体"/>
          <w:sz w:val="24"/>
          <w:szCs w:val="24"/>
          <w:lang w:val="en-US" w:eastAsia="zh-CN"/>
        </w:rPr>
        <w:t>4、保修期内，设备发生故障，乙方应在60分钟内响应,4小时到达用户现场，</w:t>
      </w:r>
      <w:r>
        <w:rPr>
          <w:rFonts w:hint="eastAsia" w:ascii="宋体" w:hAnsi="宋体" w:cs="宋体"/>
          <w:sz w:val="24"/>
          <w:szCs w:val="24"/>
          <w:lang w:val="en-US" w:eastAsia="zh-CN"/>
        </w:rPr>
        <w:t>8小时内维修完成，</w:t>
      </w:r>
      <w:r>
        <w:rPr>
          <w:rFonts w:hint="eastAsia" w:ascii="宋体" w:hAnsi="宋体" w:eastAsia="宋体" w:cs="宋体"/>
          <w:sz w:val="24"/>
          <w:szCs w:val="24"/>
          <w:lang w:val="en-US" w:eastAsia="zh-CN"/>
        </w:rPr>
        <w:t>并保证7*24小时远程技术支持。</w:t>
      </w:r>
    </w:p>
    <w:p>
      <w:pPr>
        <w:topLinePunct/>
        <w:snapToGrid w:val="0"/>
        <w:spacing w:line="500" w:lineRule="exact"/>
        <w:ind w:firstLine="480" w:firstLineChars="200"/>
        <w:rPr>
          <w:rFonts w:hint="eastAsia"/>
        </w:rPr>
      </w:pPr>
      <w:r>
        <w:rPr>
          <w:rFonts w:hint="eastAsia" w:ascii="宋体" w:hAnsi="宋体"/>
          <w:b w:val="0"/>
          <w:bCs/>
          <w:sz w:val="24"/>
          <w:szCs w:val="24"/>
          <w:lang w:val="en-US" w:eastAsia="zh-CN"/>
        </w:rPr>
        <w:t>5、</w:t>
      </w:r>
      <w:r>
        <w:rPr>
          <w:rFonts w:hint="eastAsia" w:ascii="宋体" w:hAnsi="宋体"/>
          <w:b w:val="0"/>
          <w:bCs/>
          <w:sz w:val="24"/>
          <w:szCs w:val="24"/>
          <w:lang w:eastAsia="zh-CN"/>
        </w:rPr>
        <w:t>质保内免费提供设备的维修维护，包括非人为因素发生的设备修理、更换。过质保期后应提供上门维修，维修费用只收取零部件成本费。</w:t>
      </w:r>
      <w:r>
        <w:rPr>
          <w:rFonts w:hint="eastAsia" w:ascii="宋体" w:hAnsi="宋体" w:eastAsia="宋体" w:cs="宋体"/>
          <w:kern w:val="0"/>
          <w:sz w:val="24"/>
          <w:szCs w:val="24"/>
        </w:rPr>
        <w:t>不能兑现质保承诺的，</w:t>
      </w:r>
      <w:r>
        <w:rPr>
          <w:rFonts w:hint="eastAsia" w:ascii="宋体" w:hAnsi="宋体" w:cs="宋体"/>
          <w:kern w:val="0"/>
          <w:sz w:val="24"/>
          <w:szCs w:val="24"/>
          <w:lang w:eastAsia="zh-CN"/>
        </w:rPr>
        <w:t>甲方</w:t>
      </w:r>
      <w:r>
        <w:rPr>
          <w:rFonts w:hint="eastAsia" w:ascii="宋体" w:hAnsi="宋体" w:eastAsia="宋体" w:cs="宋体"/>
          <w:kern w:val="0"/>
          <w:sz w:val="24"/>
          <w:szCs w:val="24"/>
        </w:rPr>
        <w:t>将扣除质保金，并由相关部门酌情进行信誉度处罚。</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供应商应对使用单位进行一次简单维护、维修培训，确保使用者了解维护方法和进行简单的维修操作。</w:t>
      </w:r>
    </w:p>
    <w:p>
      <w:pPr>
        <w:snapToGrid w:val="0"/>
        <w:spacing w:line="500" w:lineRule="exact"/>
        <w:rPr>
          <w:rFonts w:hint="eastAsia" w:ascii="宋体" w:hAnsi="宋体" w:eastAsia="宋体" w:cs="宋体"/>
          <w:b/>
          <w:bCs/>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十</w:t>
      </w:r>
      <w:r>
        <w:rPr>
          <w:rFonts w:hint="eastAsia" w:ascii="宋体" w:hAnsi="宋体" w:eastAsia="宋体" w:cs="宋体"/>
          <w:b/>
          <w:bCs/>
          <w:sz w:val="24"/>
          <w:szCs w:val="24"/>
        </w:rPr>
        <w:t>、违约责任</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合同一方不履行合同义务或者履行合同义务不符合约定的，应当承担继续履行、采取补救措施或赔偿损失等违约责任。</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甲方违约责任</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在合同生效后，非乙方原因甲方要求退货的，应向乙方偿付合同总价款的</w:t>
      </w:r>
      <w:r>
        <w:rPr>
          <w:rFonts w:hint="eastAsia" w:ascii="宋体" w:hAnsi="宋体" w:eastAsia="宋体" w:cs="宋体"/>
          <w:sz w:val="24"/>
          <w:szCs w:val="24"/>
          <w:u w:val="single"/>
        </w:rPr>
        <w:t>5</w:t>
      </w:r>
      <w:r>
        <w:rPr>
          <w:rFonts w:hint="eastAsia" w:ascii="宋体" w:hAnsi="宋体" w:eastAsia="宋体" w:cs="宋体"/>
          <w:sz w:val="24"/>
          <w:szCs w:val="24"/>
        </w:rPr>
        <w:t>%，作为违约金，违约金不足以补偿损失的，乙方有权要求甲方补足。</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甲方违反合同规定，拒绝接收乙方交付的合格标的物，应当承担乙方由此造成的损失。</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乙方违约责任</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）乙方</w:t>
      </w:r>
      <w:r>
        <w:rPr>
          <w:rFonts w:hint="eastAsia" w:ascii="宋体" w:hAnsi="宋体" w:eastAsia="宋体" w:cs="宋体"/>
          <w:sz w:val="24"/>
          <w:szCs w:val="24"/>
        </w:rPr>
        <w:t>不能</w:t>
      </w:r>
      <w:r>
        <w:rPr>
          <w:rFonts w:hint="eastAsia" w:ascii="宋体" w:hAnsi="宋体" w:eastAsia="宋体" w:cs="宋体"/>
          <w:sz w:val="24"/>
          <w:szCs w:val="24"/>
          <w:lang w:eastAsia="zh-CN"/>
        </w:rPr>
        <w:t>按期完成设备安装及改造工作</w:t>
      </w:r>
      <w:r>
        <w:rPr>
          <w:rFonts w:hint="eastAsia" w:ascii="宋体" w:hAnsi="宋体" w:eastAsia="宋体" w:cs="宋体"/>
          <w:sz w:val="24"/>
          <w:szCs w:val="24"/>
        </w:rPr>
        <w:t>，或</w:t>
      </w:r>
      <w:r>
        <w:rPr>
          <w:rFonts w:hint="eastAsia" w:ascii="宋体" w:hAnsi="宋体" w:eastAsia="宋体" w:cs="宋体"/>
          <w:sz w:val="24"/>
          <w:szCs w:val="24"/>
          <w:lang w:eastAsia="zh-CN"/>
        </w:rPr>
        <w:t>设备安装或改造工作</w:t>
      </w:r>
      <w:r>
        <w:rPr>
          <w:rFonts w:hint="eastAsia" w:ascii="宋体" w:hAnsi="宋体" w:eastAsia="宋体" w:cs="宋体"/>
          <w:sz w:val="24"/>
          <w:szCs w:val="24"/>
        </w:rPr>
        <w:t>不合格从而影响</w:t>
      </w:r>
      <w:r>
        <w:rPr>
          <w:rFonts w:hint="eastAsia" w:ascii="宋体" w:hAnsi="宋体" w:eastAsia="宋体" w:cs="宋体"/>
          <w:sz w:val="24"/>
          <w:szCs w:val="24"/>
          <w:lang w:eastAsia="zh-CN"/>
        </w:rPr>
        <w:t>甲方</w:t>
      </w:r>
      <w:r>
        <w:rPr>
          <w:rFonts w:hint="eastAsia" w:ascii="宋体" w:hAnsi="宋体" w:eastAsia="宋体" w:cs="宋体"/>
          <w:sz w:val="24"/>
          <w:szCs w:val="24"/>
        </w:rPr>
        <w:t>按期正常使用的，应向</w:t>
      </w:r>
      <w:r>
        <w:rPr>
          <w:rFonts w:hint="eastAsia" w:ascii="宋体" w:hAnsi="宋体" w:eastAsia="宋体" w:cs="宋体"/>
          <w:sz w:val="24"/>
          <w:szCs w:val="24"/>
          <w:lang w:eastAsia="zh-CN"/>
        </w:rPr>
        <w:t>甲方</w:t>
      </w:r>
      <w:r>
        <w:rPr>
          <w:rFonts w:hint="eastAsia" w:ascii="宋体" w:hAnsi="宋体" w:eastAsia="宋体" w:cs="宋体"/>
          <w:sz w:val="24"/>
          <w:szCs w:val="24"/>
        </w:rPr>
        <w:t>偿付合同总价款10 %的违约金，</w:t>
      </w:r>
      <w:r>
        <w:rPr>
          <w:rFonts w:hint="eastAsia" w:ascii="宋体" w:hAnsi="宋体" w:eastAsia="宋体" w:cs="宋体"/>
          <w:sz w:val="24"/>
          <w:szCs w:val="24"/>
          <w:lang w:eastAsia="zh-CN"/>
        </w:rPr>
        <w:t>且履约保证金不予退还。</w:t>
      </w:r>
      <w:r>
        <w:rPr>
          <w:rFonts w:hint="eastAsia" w:ascii="宋体" w:hAnsi="宋体" w:eastAsia="宋体" w:cs="宋体"/>
          <w:sz w:val="24"/>
          <w:szCs w:val="24"/>
        </w:rPr>
        <w:t>违约金不足以补偿损失的，</w:t>
      </w:r>
      <w:r>
        <w:rPr>
          <w:rFonts w:hint="eastAsia" w:ascii="宋体" w:hAnsi="宋体" w:eastAsia="宋体" w:cs="宋体"/>
          <w:sz w:val="24"/>
          <w:szCs w:val="24"/>
          <w:lang w:eastAsia="zh-CN"/>
        </w:rPr>
        <w:t>甲方</w:t>
      </w:r>
      <w:r>
        <w:rPr>
          <w:rFonts w:hint="eastAsia" w:ascii="宋体" w:hAnsi="宋体" w:eastAsia="宋体" w:cs="宋体"/>
          <w:sz w:val="24"/>
          <w:szCs w:val="24"/>
        </w:rPr>
        <w:t>有权要求</w:t>
      </w:r>
      <w:r>
        <w:rPr>
          <w:rFonts w:hint="eastAsia" w:ascii="宋体" w:hAnsi="宋体" w:eastAsia="宋体" w:cs="宋体"/>
          <w:sz w:val="24"/>
          <w:szCs w:val="24"/>
          <w:lang w:eastAsia="zh-CN"/>
        </w:rPr>
        <w:t>乙方</w:t>
      </w:r>
      <w:r>
        <w:rPr>
          <w:rFonts w:hint="eastAsia" w:ascii="宋体" w:hAnsi="宋体" w:eastAsia="宋体" w:cs="宋体"/>
          <w:sz w:val="24"/>
          <w:szCs w:val="24"/>
        </w:rPr>
        <w:t>补足。</w:t>
      </w:r>
    </w:p>
    <w:p>
      <w:pPr>
        <w:snapToGrid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）乙方</w:t>
      </w:r>
      <w:r>
        <w:rPr>
          <w:rFonts w:hint="eastAsia" w:ascii="宋体" w:hAnsi="宋体" w:eastAsia="宋体" w:cs="宋体"/>
          <w:sz w:val="24"/>
          <w:szCs w:val="24"/>
        </w:rPr>
        <w:t>逾期</w:t>
      </w:r>
      <w:r>
        <w:rPr>
          <w:rFonts w:hint="eastAsia" w:ascii="宋体" w:hAnsi="宋体" w:eastAsia="宋体" w:cs="宋体"/>
          <w:sz w:val="24"/>
          <w:szCs w:val="24"/>
          <w:lang w:eastAsia="zh-CN"/>
        </w:rPr>
        <w:t>完成改造的，</w:t>
      </w:r>
      <w:r>
        <w:rPr>
          <w:rFonts w:hint="eastAsia" w:ascii="宋体" w:hAnsi="宋体" w:eastAsia="宋体" w:cs="宋体"/>
          <w:sz w:val="24"/>
          <w:szCs w:val="24"/>
        </w:rPr>
        <w:t>按照逾期交货部分货款的每天</w:t>
      </w:r>
      <w:r>
        <w:rPr>
          <w:rFonts w:hint="eastAsia" w:ascii="宋体" w:hAnsi="宋体" w:eastAsia="宋体" w:cs="宋体"/>
          <w:sz w:val="24"/>
          <w:szCs w:val="24"/>
          <w:lang w:val="en-US" w:eastAsia="zh-CN"/>
        </w:rPr>
        <w:t>1</w:t>
      </w:r>
      <w:r>
        <w:rPr>
          <w:rFonts w:hint="eastAsia" w:ascii="宋体" w:hAnsi="宋体" w:eastAsia="宋体" w:cs="宋体"/>
          <w:sz w:val="24"/>
          <w:szCs w:val="24"/>
        </w:rPr>
        <w:t>%支付逾期交货违约金，同时承担</w:t>
      </w:r>
      <w:r>
        <w:rPr>
          <w:rFonts w:hint="eastAsia" w:ascii="宋体" w:hAnsi="宋体" w:eastAsia="宋体" w:cs="宋体"/>
          <w:sz w:val="24"/>
          <w:szCs w:val="24"/>
          <w:lang w:eastAsia="zh-CN"/>
        </w:rPr>
        <w:t>甲方</w:t>
      </w:r>
      <w:r>
        <w:rPr>
          <w:rFonts w:hint="eastAsia" w:ascii="宋体" w:hAnsi="宋体" w:eastAsia="宋体" w:cs="宋体"/>
          <w:sz w:val="24"/>
          <w:szCs w:val="24"/>
        </w:rPr>
        <w:t>因此遭致的损失费用。</w:t>
      </w:r>
      <w:r>
        <w:rPr>
          <w:rFonts w:hint="eastAsia" w:ascii="宋体" w:hAnsi="宋体" w:eastAsia="宋体" w:cs="宋体"/>
          <w:sz w:val="24"/>
          <w:szCs w:val="24"/>
          <w:lang w:eastAsia="zh-CN"/>
        </w:rPr>
        <w:t>逾期超过十天，甲方有权终止合同，并按上条进行违约处罚。</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、不可抗力</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因不可抗力不能履行合同的，根据不可抗力的影响，部分或者全部免除责任。但合同一方延迟履行后发生不可抗力的，不能免除责任。</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合同一方因不可抗力不能履行合同的，应当及时通知对方，以减轻可能给对方造成的损失，并应当在合理期限内提供证明。</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二</w:t>
      </w:r>
      <w:r>
        <w:rPr>
          <w:rFonts w:hint="eastAsia" w:ascii="宋体" w:hAnsi="宋体" w:eastAsia="宋体" w:cs="宋体"/>
          <w:sz w:val="24"/>
          <w:szCs w:val="24"/>
        </w:rPr>
        <w:t>、索赔</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甲方有权根据当地产品质量检验机构或其他有权部门出具的检验证书向乙方提出索赔。</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在本合同规定的检验期限和质量保证期内，如果乙方对甲方提出的索赔或差异有责任，则乙方应按甲方同意的下列一种或多种方式解决索赔事宜：</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乙方同意退货，并按合同规定的货币将货款退还给甲方，并且承担由此发生的一切损失和费用，包括利息、银行手续费、运费、保险费、检验费、仓储费、装卸费以及为保护退回标的物所需的其他必要费用。</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根据标的物的低劣程度、损坏程度以及甲方遭受损失的数额，经双方协商确定降低标的物的价格（所供设备不合格数量≦</w:t>
      </w:r>
      <w:r>
        <w:rPr>
          <w:rFonts w:hint="eastAsia" w:ascii="宋体" w:hAnsi="宋体" w:eastAsia="宋体" w:cs="宋体"/>
          <w:sz w:val="24"/>
          <w:szCs w:val="24"/>
          <w:lang w:val="en-US" w:eastAsia="zh-CN"/>
        </w:rPr>
        <w:t>1</w:t>
      </w:r>
      <w:r>
        <w:rPr>
          <w:rFonts w:hint="eastAsia" w:ascii="宋体" w:hAnsi="宋体" w:eastAsia="宋体" w:cs="宋体"/>
          <w:sz w:val="24"/>
          <w:szCs w:val="24"/>
        </w:rPr>
        <w:t>台）。</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 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 </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三</w:t>
      </w:r>
      <w:r>
        <w:rPr>
          <w:rFonts w:hint="eastAsia" w:ascii="宋体" w:hAnsi="宋体" w:eastAsia="宋体" w:cs="宋体"/>
          <w:sz w:val="24"/>
          <w:szCs w:val="24"/>
        </w:rPr>
        <w:t>、合同的解除和转让</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甲方和乙方协商一致，可以解除合同。</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有下列情形之一，合同一方可以解除合同：</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因不可抗力致使不能实现合同目的，未受不可抗力影响的一方有权解除合同；</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因合同一方违约导致合同不能履行，另一方有权解除合同</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有权解除合同的一方，应当在违约事实或不可抗力发生之后三十天内书面通知对方以主张解除合同，合同在书面通知到达对方时解除。</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合同的部分和全部都不得转让。</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四</w:t>
      </w:r>
      <w:r>
        <w:rPr>
          <w:rFonts w:hint="eastAsia" w:ascii="宋体" w:hAnsi="宋体" w:eastAsia="宋体" w:cs="宋体"/>
          <w:sz w:val="24"/>
          <w:szCs w:val="24"/>
        </w:rPr>
        <w:t>、合同的生效</w:t>
      </w:r>
    </w:p>
    <w:p>
      <w:pPr>
        <w:snapToGrid w:val="0"/>
        <w:spacing w:line="500" w:lineRule="exact"/>
        <w:ind w:firstLine="573"/>
        <w:rPr>
          <w:rFonts w:hint="eastAsia" w:ascii="宋体" w:hAnsi="宋体" w:eastAsia="宋体" w:cs="宋体"/>
          <w:sz w:val="24"/>
          <w:szCs w:val="24"/>
          <w:lang w:eastAsia="zh-CN"/>
        </w:rPr>
      </w:pPr>
      <w:r>
        <w:rPr>
          <w:rFonts w:hint="eastAsia" w:ascii="宋体" w:hAnsi="宋体" w:cs="宋体"/>
          <w:sz w:val="24"/>
        </w:rPr>
        <w:t>本合同在乙方按规定缴纳了履约保证金且甲乙双方签字盖章后即生效</w:t>
      </w:r>
      <w:r>
        <w:rPr>
          <w:rFonts w:hint="eastAsia" w:ascii="宋体" w:hAnsi="宋体" w:eastAsia="宋体" w:cs="宋体"/>
          <w:sz w:val="24"/>
          <w:szCs w:val="24"/>
          <w:lang w:eastAsia="zh-CN"/>
        </w:rPr>
        <w:t>。</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五</w:t>
      </w:r>
      <w:r>
        <w:rPr>
          <w:rFonts w:hint="eastAsia" w:ascii="宋体" w:hAnsi="宋体" w:eastAsia="宋体" w:cs="宋体"/>
          <w:sz w:val="24"/>
          <w:szCs w:val="24"/>
        </w:rPr>
        <w:t>、争议的解决</w:t>
      </w:r>
    </w:p>
    <w:p>
      <w:pPr>
        <w:snapToGrid w:val="0"/>
        <w:spacing w:line="500" w:lineRule="exact"/>
        <w:ind w:firstLine="573"/>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合同在履行过程中发生的争议、由双方当事人协商解决；也可由当地工商行政管理部门调解；协商或调解不成的，依法向南通仲裁委员会申请仲裁。</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eastAsia="zh-CN"/>
        </w:rPr>
        <w:t>六</w:t>
      </w:r>
      <w:r>
        <w:rPr>
          <w:rFonts w:hint="eastAsia" w:ascii="宋体" w:hAnsi="宋体" w:eastAsia="宋体" w:cs="宋体"/>
          <w:sz w:val="24"/>
          <w:szCs w:val="24"/>
        </w:rPr>
        <w:t>、附则</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合同份数：本合同一式</w:t>
      </w:r>
      <w:r>
        <w:rPr>
          <w:rFonts w:hint="eastAsia" w:ascii="宋体" w:hAnsi="宋体" w:eastAsia="宋体" w:cs="宋体"/>
          <w:sz w:val="24"/>
          <w:szCs w:val="24"/>
          <w:lang w:val="en-US" w:eastAsia="zh-CN"/>
        </w:rPr>
        <w:t>六</w:t>
      </w:r>
      <w:r>
        <w:rPr>
          <w:rFonts w:hint="eastAsia" w:ascii="宋体" w:hAnsi="宋体" w:eastAsia="宋体" w:cs="宋体"/>
          <w:sz w:val="24"/>
          <w:szCs w:val="24"/>
        </w:rPr>
        <w:t>份，</w:t>
      </w:r>
      <w:r>
        <w:rPr>
          <w:rFonts w:hint="eastAsia" w:ascii="宋体" w:hAnsi="宋体" w:cs="宋体"/>
          <w:sz w:val="24"/>
          <w:szCs w:val="24"/>
          <w:lang w:eastAsia="zh-CN"/>
        </w:rPr>
        <w:t>甲方</w:t>
      </w:r>
      <w:r>
        <w:rPr>
          <w:rFonts w:hint="eastAsia" w:ascii="宋体" w:hAnsi="宋体" w:eastAsia="宋体" w:cs="宋体"/>
          <w:sz w:val="24"/>
          <w:szCs w:val="24"/>
          <w:lang w:val="en-US" w:eastAsia="zh-CN"/>
        </w:rPr>
        <w:t>四份</w:t>
      </w:r>
      <w:r>
        <w:rPr>
          <w:rFonts w:hint="eastAsia" w:ascii="宋体" w:hAnsi="宋体" w:eastAsia="宋体" w:cs="宋体"/>
          <w:sz w:val="24"/>
          <w:szCs w:val="24"/>
        </w:rPr>
        <w:t>、供应商</w:t>
      </w:r>
      <w:r>
        <w:rPr>
          <w:rFonts w:hint="eastAsia" w:ascii="宋体" w:hAnsi="宋体" w:eastAsia="宋体" w:cs="宋体"/>
          <w:sz w:val="24"/>
          <w:szCs w:val="24"/>
          <w:lang w:val="en-US" w:eastAsia="zh-CN"/>
        </w:rPr>
        <w:t>两</w:t>
      </w:r>
      <w:r>
        <w:rPr>
          <w:rFonts w:hint="eastAsia" w:ascii="宋体" w:hAnsi="宋体" w:eastAsia="宋体" w:cs="宋体"/>
          <w:sz w:val="24"/>
          <w:szCs w:val="24"/>
        </w:rPr>
        <w:t>份。</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本合同文件使用中文书写、解释和说明。</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本合同履行过程中产生的纪要、协议以及</w:t>
      </w:r>
      <w:r>
        <w:rPr>
          <w:rFonts w:hint="eastAsia" w:ascii="宋体" w:hAnsi="宋体" w:eastAsia="宋体" w:cs="宋体"/>
          <w:sz w:val="24"/>
          <w:szCs w:val="24"/>
          <w:lang w:val="en-US" w:eastAsia="zh-CN"/>
        </w:rPr>
        <w:t>成交</w:t>
      </w:r>
      <w:r>
        <w:rPr>
          <w:rFonts w:hint="eastAsia" w:ascii="宋体" w:hAnsi="宋体" w:eastAsia="宋体" w:cs="宋体"/>
          <w:sz w:val="24"/>
          <w:szCs w:val="24"/>
        </w:rPr>
        <w:t>通知书、</w:t>
      </w:r>
      <w:r>
        <w:rPr>
          <w:rFonts w:hint="eastAsia" w:ascii="宋体" w:hAnsi="宋体" w:eastAsia="宋体" w:cs="宋体"/>
          <w:sz w:val="24"/>
          <w:szCs w:val="24"/>
          <w:lang w:val="en-US" w:eastAsia="zh-CN"/>
        </w:rPr>
        <w:t>谈判</w:t>
      </w:r>
      <w:r>
        <w:rPr>
          <w:rFonts w:hint="eastAsia" w:ascii="宋体" w:hAnsi="宋体" w:eastAsia="宋体" w:cs="宋体"/>
          <w:sz w:val="24"/>
          <w:szCs w:val="24"/>
        </w:rPr>
        <w:t>响应文件和</w:t>
      </w:r>
      <w:r>
        <w:rPr>
          <w:rFonts w:hint="eastAsia" w:ascii="宋体" w:hAnsi="宋体" w:eastAsia="宋体" w:cs="宋体"/>
          <w:sz w:val="24"/>
          <w:szCs w:val="24"/>
          <w:lang w:val="en-US" w:eastAsia="zh-CN"/>
        </w:rPr>
        <w:t>谈判文件</w:t>
      </w:r>
      <w:r>
        <w:rPr>
          <w:rFonts w:hint="eastAsia" w:ascii="宋体" w:hAnsi="宋体" w:eastAsia="宋体" w:cs="宋体"/>
          <w:sz w:val="24"/>
          <w:szCs w:val="24"/>
        </w:rPr>
        <w:t>为本合同的附件，与合同具有同等效力。</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未尽事宜</w:t>
      </w:r>
    </w:p>
    <w:p>
      <w:pPr>
        <w:snapToGrid w:val="0"/>
        <w:spacing w:line="500" w:lineRule="exact"/>
        <w:ind w:firstLine="573"/>
        <w:rPr>
          <w:rFonts w:hint="eastAsia" w:ascii="宋体" w:hAnsi="宋体" w:eastAsia="宋体" w:cs="宋体"/>
          <w:sz w:val="24"/>
          <w:szCs w:val="24"/>
        </w:rPr>
      </w:pPr>
      <w:r>
        <w:rPr>
          <w:rFonts w:hint="eastAsia" w:ascii="宋体" w:hAnsi="宋体" w:eastAsia="宋体" w:cs="宋体"/>
          <w:sz w:val="24"/>
          <w:szCs w:val="24"/>
        </w:rPr>
        <w:t>本合同未尽事宜应按照《中华人民共和国合同法》《中华人民共和国产品质量法》《中华人民共和国政府采购法》及其相关配套法律法规之规定解释。</w:t>
      </w:r>
    </w:p>
    <w:p/>
    <w:p>
      <w:pPr>
        <w:spacing w:line="360" w:lineRule="auto"/>
        <w:ind w:left="482"/>
        <w:rPr>
          <w:rFonts w:hint="eastAsia" w:ascii="宋体" w:hAnsi="宋体" w:cs="宋体"/>
          <w:kern w:val="0"/>
          <w:sz w:val="24"/>
        </w:rPr>
      </w:pPr>
    </w:p>
    <w:p>
      <w:pPr>
        <w:spacing w:line="360" w:lineRule="auto"/>
        <w:ind w:left="482"/>
        <w:rPr>
          <w:rFonts w:ascii="宋体" w:hAnsi="宋体" w:cs="宋体"/>
          <w:kern w:val="0"/>
          <w:sz w:val="24"/>
        </w:rPr>
      </w:pPr>
      <w:r>
        <w:rPr>
          <w:rFonts w:hint="eastAsia" w:ascii="宋体" w:hAnsi="宋体" w:cs="宋体"/>
          <w:kern w:val="0"/>
          <w:sz w:val="24"/>
        </w:rPr>
        <w:t xml:space="preserve">采购单位（或甲方）：             </w:t>
      </w:r>
      <w:r>
        <w:rPr>
          <w:rFonts w:hint="eastAsia" w:ascii="宋体" w:hAnsi="宋体" w:cs="宋体"/>
          <w:kern w:val="0"/>
          <w:sz w:val="24"/>
          <w:lang w:val="en-US" w:eastAsia="zh-CN"/>
        </w:rPr>
        <w:t>成交</w:t>
      </w:r>
      <w:r>
        <w:rPr>
          <w:rFonts w:hint="eastAsia" w:ascii="宋体" w:hAnsi="宋体" w:cs="宋体"/>
          <w:kern w:val="0"/>
          <w:sz w:val="24"/>
        </w:rPr>
        <w:t>供应商（或乙方）：</w:t>
      </w:r>
    </w:p>
    <w:p>
      <w:pPr>
        <w:spacing w:line="360" w:lineRule="auto"/>
        <w:ind w:firstLine="484" w:firstLineChars="202"/>
        <w:rPr>
          <w:rFonts w:ascii="宋体" w:hAnsi="宋体" w:cs="宋体"/>
          <w:kern w:val="0"/>
          <w:sz w:val="24"/>
        </w:rPr>
      </w:pPr>
      <w:r>
        <w:rPr>
          <w:rFonts w:hint="eastAsia" w:ascii="宋体" w:hAnsi="宋体" w:cs="宋体"/>
          <w:kern w:val="0"/>
          <w:sz w:val="24"/>
        </w:rPr>
        <w:t>法定代表人：                     法定代表人：</w:t>
      </w:r>
    </w:p>
    <w:p>
      <w:pPr>
        <w:spacing w:line="360" w:lineRule="auto"/>
        <w:ind w:firstLine="484" w:firstLineChars="202"/>
        <w:rPr>
          <w:rFonts w:ascii="宋体" w:hAnsi="宋体" w:cs="宋体"/>
          <w:sz w:val="24"/>
        </w:rPr>
      </w:pPr>
      <w:r>
        <w:rPr>
          <w:rFonts w:hint="eastAsia" w:ascii="宋体" w:hAnsi="宋体" w:cs="宋体"/>
          <w:kern w:val="0"/>
          <w:sz w:val="24"/>
        </w:rPr>
        <w:t>委托代理人：                     委托代理人：</w:t>
      </w:r>
    </w:p>
    <w:p>
      <w:pPr>
        <w:spacing w:line="360" w:lineRule="auto"/>
        <w:ind w:firstLine="240" w:firstLineChars="100"/>
        <w:rPr>
          <w:rFonts w:hint="eastAsia"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签订时间：</w:t>
      </w:r>
      <w:r>
        <w:rPr>
          <w:rFonts w:hint="eastAsia" w:ascii="宋体" w:hAnsi="宋体" w:cs="宋体"/>
          <w:sz w:val="24"/>
          <w:lang w:val="en-US" w:eastAsia="zh-CN"/>
        </w:rPr>
        <w:t xml:space="preserve">    </w:t>
      </w:r>
      <w:r>
        <w:rPr>
          <w:rFonts w:hint="eastAsia" w:ascii="宋体" w:hAnsi="宋体" w:cs="宋体"/>
          <w:sz w:val="24"/>
        </w:rPr>
        <w:t>年  月  日</w:t>
      </w:r>
    </w:p>
    <w:p>
      <w:pPr>
        <w:pStyle w:val="14"/>
        <w:snapToGrid w:val="0"/>
        <w:spacing w:line="440" w:lineRule="exact"/>
        <w:ind w:firstLine="420"/>
        <w:rPr>
          <w:rFonts w:hint="eastAsia" w:asciiTheme="minorEastAsia" w:hAnsiTheme="minorEastAsia" w:eastAsiaTheme="minorEastAsia" w:cstheme="minorEastAsia"/>
          <w:b/>
          <w:color w:val="000000"/>
          <w:sz w:val="24"/>
          <w:szCs w:val="24"/>
        </w:rPr>
      </w:pPr>
    </w:p>
    <w:p>
      <w:pPr>
        <w:rPr>
          <w:rFonts w:hint="eastAsia" w:asciiTheme="minorEastAsia" w:hAnsiTheme="minorEastAsia" w:eastAsiaTheme="minorEastAsia" w:cstheme="minorEastAsia"/>
          <w:b/>
          <w:sz w:val="24"/>
          <w:szCs w:val="24"/>
        </w:rPr>
      </w:pPr>
    </w:p>
    <w:p>
      <w:pPr>
        <w:pStyle w:val="13"/>
        <w:tabs>
          <w:tab w:val="left" w:pos="1050"/>
          <w:tab w:val="right" w:leader="dot" w:pos="9402"/>
        </w:tabs>
        <w:spacing w:line="520" w:lineRule="exact"/>
        <w:ind w:left="0" w:leftChars="0"/>
        <w:jc w:val="center"/>
        <w:outlineLvl w:val="0"/>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iCs/>
          <w:w w:val="80"/>
          <w:sz w:val="44"/>
          <w:szCs w:val="44"/>
        </w:rPr>
        <w:br w:type="page"/>
      </w:r>
    </w:p>
    <w:p>
      <w:pPr>
        <w:pStyle w:val="13"/>
        <w:tabs>
          <w:tab w:val="left" w:pos="1050"/>
          <w:tab w:val="right" w:leader="dot" w:pos="9402"/>
        </w:tabs>
        <w:spacing w:line="520" w:lineRule="exact"/>
        <w:ind w:left="0" w:leftChars="0"/>
        <w:jc w:val="center"/>
        <w:outlineLvl w:val="0"/>
        <w:rPr>
          <w:rFonts w:hint="eastAsia" w:asciiTheme="minorEastAsia" w:hAnsiTheme="minorEastAsia" w:eastAsiaTheme="minorEastAsia" w:cstheme="minorEastAsia"/>
          <w:b/>
          <w:iCs/>
          <w:w w:val="80"/>
          <w:sz w:val="44"/>
          <w:szCs w:val="44"/>
        </w:rPr>
      </w:pPr>
      <w:r>
        <w:rPr>
          <w:rFonts w:hint="eastAsia" w:asciiTheme="minorEastAsia" w:hAnsiTheme="minorEastAsia" w:eastAsiaTheme="minorEastAsia" w:cstheme="minorEastAsia"/>
          <w:b/>
          <w:iCs/>
          <w:w w:val="80"/>
          <w:sz w:val="44"/>
          <w:szCs w:val="44"/>
        </w:rPr>
        <w:t>第六章   合同授予</w:t>
      </w:r>
    </w:p>
    <w:p>
      <w:pPr>
        <w:spacing w:line="520" w:lineRule="exact"/>
        <w:ind w:firstLine="484" w:firstLineChars="202"/>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kern w:val="0"/>
          <w:sz w:val="24"/>
          <w:szCs w:val="24"/>
        </w:rPr>
        <w:t>成交供应商在《成交通知书》发出</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日内须按照磋商文件确定的事项签订合同。</w:t>
      </w:r>
      <w:r>
        <w:rPr>
          <w:rFonts w:hint="eastAsia" w:asciiTheme="minorEastAsia" w:hAnsiTheme="minorEastAsia" w:eastAsiaTheme="minorEastAsia" w:cstheme="minorEastAsia"/>
          <w:sz w:val="24"/>
          <w:szCs w:val="24"/>
        </w:rPr>
        <w:t>合同一式陆份，采购人</w:t>
      </w:r>
      <w:r>
        <w:rPr>
          <w:rFonts w:hint="eastAsia" w:asciiTheme="minorEastAsia" w:hAnsiTheme="minorEastAsia" w:eastAsiaTheme="minorEastAsia" w:cstheme="minorEastAsia"/>
          <w:sz w:val="24"/>
          <w:szCs w:val="24"/>
          <w:lang w:eastAsia="zh-CN"/>
        </w:rPr>
        <w:t>四份</w:t>
      </w: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kern w:val="0"/>
          <w:sz w:val="24"/>
          <w:szCs w:val="24"/>
        </w:rPr>
        <w:t xml:space="preserve">。所签合同不得对磋商文件作实质性修改。采购单位不得向成交供应商提出不合理的要求作为签订合同的条件，不得与成交供应商私下订立背离磋商文件实质性内容的协议。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二、采购单位按合同约定积极配合中标人履约，中标人履约到位后，请以书面形式向采购单位提出验收申请，采购单位接到申请后原则上在5个工作日内及时组织相关专业人员，必要时邀请政府相关部门共同参与验收，并出具验收报告，验收合格的原则上5个工作日内支付相应款项。</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三、采购单位故意推迟项目验收时间的，与中标人串通或要求中标人通过降低服务标准的，在履行合同中要求中标人出具虚假发票或任意更改销售发票的，谋取不正当利益的，承担相应的法律责任。</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四、中标人出现违约情形，应当及时纠正或补偿；造成损失的，按合同约定追究违约责任；发现有违法情形的，应由采购单位移交工商、质监、公安等行政执法部门依法查处。</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五、按政府采购合同约定支付的合同款，实行财政国库直接支付。</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六、不响应付款方式的，视同响应文件无效，按无效响应文件处理。</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七、付款方式详见磋商文件第五章。</w:t>
      </w:r>
    </w:p>
    <w:p>
      <w:pPr>
        <w:snapToGrid w:val="0"/>
        <w:spacing w:line="480" w:lineRule="exact"/>
        <w:ind w:firstLine="5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八、以上项目款的支付不计息。</w:t>
      </w: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b/>
          <w:w w:val="80"/>
          <w:kern w:val="44"/>
          <w:sz w:val="44"/>
          <w:szCs w:val="44"/>
        </w:rPr>
      </w:pPr>
    </w:p>
    <w:p>
      <w:pPr>
        <w:snapToGrid w:val="0"/>
        <w:spacing w:line="520" w:lineRule="exact"/>
        <w:ind w:firstLine="57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w w:val="80"/>
          <w:kern w:val="44"/>
          <w:sz w:val="44"/>
          <w:szCs w:val="44"/>
        </w:rPr>
        <w:br w:type="page"/>
      </w:r>
      <w:r>
        <w:rPr>
          <w:rFonts w:hint="eastAsia" w:asciiTheme="minorEastAsia" w:hAnsiTheme="minorEastAsia" w:eastAsiaTheme="minorEastAsia" w:cstheme="minorEastAsia"/>
          <w:b/>
          <w:w w:val="80"/>
          <w:kern w:val="44"/>
          <w:sz w:val="44"/>
          <w:szCs w:val="44"/>
        </w:rPr>
        <w:t>第七章  质疑提出和处理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格式请在南通公共资源交易网“下载中心--有关质疑资料”下载</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一、质疑的提出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1、质疑人必须是直接参加本次磋商活动的当事人。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采购单位或采购代理机构不负责搜集相关佐证材料等工作。</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二、《质疑函》的受理和回复</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1、《质疑函》须由质疑人的法定代表人或参加本次磋商被授权人送达采购单位和采购代理机构。</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三、质疑处理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2、质疑不成立的处理。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1）质疑人书面《申请撤回质疑函》的，不作违约处理。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2）质疑人在规定的时间内不配合进行质疑调查处理的，按自动撤回《质疑函》处理。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3）质疑人不按《质疑函》格式就提出质疑的，作违约处理。同时，视情列入不良供应商名单。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公共资源交易网、省、国家级相关媒体予以披露。</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7）质疑人承担使用虚假材料或恶意方式质疑的法律责任。</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六、《质疑函》、《质疑回复函》，质疑、举报、投诉不成立的等相关情况，视情在南通公共资源交易网、省、国家级等相关媒体予以披露。并建议相关政府采购机构对该供应商同步实施1至3年内禁入。</w:t>
      </w:r>
    </w:p>
    <w:p>
      <w:pPr>
        <w:adjustRightInd w:val="0"/>
        <w:snapToGrid w:val="0"/>
        <w:spacing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int="eastAsia" w:asciiTheme="minorEastAsia" w:hAnsiTheme="minorEastAsia" w:eastAsiaTheme="minorEastAsia" w:cstheme="minorEastAsia"/>
          <w:bCs/>
          <w:sz w:val="24"/>
          <w:szCs w:val="24"/>
        </w:rPr>
      </w:pPr>
    </w:p>
    <w:p>
      <w:pPr>
        <w:pStyle w:val="5"/>
        <w:keepNext w:val="0"/>
        <w:keepLines w:val="0"/>
        <w:numPr>
          <w:ilvl w:val="0"/>
          <w:numId w:val="8"/>
        </w:numPr>
        <w:adjustRightInd w:val="0"/>
        <w:snapToGrid w:val="0"/>
        <w:spacing w:before="0" w:after="0" w:line="800" w:lineRule="exact"/>
        <w:jc w:val="center"/>
        <w:textAlignment w:val="baseline"/>
        <w:rPr>
          <w:rFonts w:hint="eastAsia" w:asciiTheme="minorEastAsia" w:hAnsiTheme="minorEastAsia" w:eastAsiaTheme="minorEastAsia" w:cstheme="minorEastAsia"/>
          <w:w w:val="80"/>
          <w:szCs w:val="44"/>
        </w:rPr>
      </w:pPr>
      <w:r>
        <w:rPr>
          <w:rFonts w:hint="eastAsia" w:asciiTheme="minorEastAsia" w:hAnsiTheme="minorEastAsia" w:eastAsiaTheme="minorEastAsia" w:cstheme="minorEastAsia"/>
          <w:w w:val="80"/>
          <w:szCs w:val="44"/>
        </w:rPr>
        <w:br w:type="page"/>
      </w:r>
      <w:r>
        <w:rPr>
          <w:rFonts w:hint="eastAsia" w:asciiTheme="minorEastAsia" w:hAnsiTheme="minorEastAsia" w:eastAsiaTheme="minorEastAsia" w:cstheme="minorEastAsia"/>
          <w:w w:val="80"/>
          <w:szCs w:val="44"/>
        </w:rPr>
        <w:t xml:space="preserve"> 响应文件组成及格式</w:t>
      </w:r>
    </w:p>
    <w:p>
      <w:pPr>
        <w:rPr>
          <w:rFonts w:hint="eastAsia" w:asciiTheme="minorEastAsia" w:hAnsiTheme="minorEastAsia" w:eastAsiaTheme="minorEastAsia" w:cstheme="minorEastAsia"/>
        </w:rPr>
      </w:pPr>
    </w:p>
    <w:p>
      <w:pPr>
        <w:adjustRightInd w:val="0"/>
        <w:snapToGrid w:val="0"/>
        <w:spacing w:line="360" w:lineRule="auto"/>
        <w:ind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pPr>
        <w:adjustRightInd w:val="0"/>
        <w:snapToGrid w:val="0"/>
        <w:spacing w:line="360" w:lineRule="auto"/>
        <w:ind w:firstLine="487" w:firstLineChars="202"/>
        <w:jc w:val="left"/>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一、资格审查文件（单独密封）：</w:t>
      </w:r>
    </w:p>
    <w:p>
      <w:pPr>
        <w:widowControl/>
        <w:numPr>
          <w:ilvl w:val="0"/>
          <w:numId w:val="0"/>
        </w:numPr>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1、</w:t>
      </w:r>
      <w:r>
        <w:rPr>
          <w:rFonts w:hint="eastAsia" w:asciiTheme="minorEastAsia" w:hAnsiTheme="minorEastAsia" w:eastAsiaTheme="minorEastAsia" w:cstheme="minorEastAsia"/>
          <w:sz w:val="24"/>
          <w:szCs w:val="24"/>
        </w:rPr>
        <w:t>投标供应商必须具有独立的法人资格，提供有效的营业执照及税务登记证</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rPr>
        <w:t>（或者是三证合一的营业执照</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rPr>
        <w:t>），营业执照具有相关经营范围，有能力提供本次采购项目所要求的服务。</w:t>
      </w:r>
    </w:p>
    <w:p>
      <w:pPr>
        <w:widowControl/>
        <w:snapToGrid w:val="0"/>
        <w:spacing w:line="360" w:lineRule="auto"/>
        <w:ind w:firstLine="480" w:firstLineChars="200"/>
        <w:jc w:val="left"/>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、投标供应商法定</w:t>
      </w:r>
      <w:r>
        <w:rPr>
          <w:rFonts w:hint="eastAsia" w:asciiTheme="minorEastAsia" w:hAnsiTheme="minorEastAsia" w:eastAsiaTheme="minorEastAsia" w:cstheme="minorEastAsia"/>
          <w:color w:val="000000"/>
          <w:sz w:val="24"/>
          <w:szCs w:val="22"/>
        </w:rPr>
        <w:t>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201</w:t>
      </w:r>
      <w:r>
        <w:rPr>
          <w:rFonts w:hint="eastAsia" w:asciiTheme="minorEastAsia" w:hAnsiTheme="minorEastAsia" w:eastAsiaTheme="minorEastAsia" w:cstheme="minorEastAsia"/>
          <w:color w:val="000000"/>
          <w:sz w:val="24"/>
          <w:szCs w:val="22"/>
          <w:lang w:val="en-US" w:eastAsia="zh-CN"/>
        </w:rPr>
        <w:t>9</w:t>
      </w:r>
      <w:r>
        <w:rPr>
          <w:rFonts w:hint="eastAsia" w:asciiTheme="minorEastAsia" w:hAnsiTheme="minorEastAsia" w:eastAsiaTheme="minorEastAsia" w:cstheme="minorEastAsia"/>
          <w:color w:val="000000"/>
          <w:sz w:val="24"/>
          <w:szCs w:val="22"/>
        </w:rPr>
        <w:t>年</w:t>
      </w:r>
      <w:r>
        <w:rPr>
          <w:rFonts w:hint="eastAsia" w:asciiTheme="minorEastAsia" w:hAnsiTheme="minorEastAsia" w:eastAsiaTheme="minorEastAsia" w:cstheme="minorEastAsia"/>
          <w:color w:val="000000"/>
          <w:sz w:val="24"/>
          <w:szCs w:val="22"/>
          <w:lang w:val="en-US" w:eastAsia="zh-CN"/>
        </w:rPr>
        <w:t>5</w:t>
      </w:r>
      <w:r>
        <w:rPr>
          <w:rFonts w:hint="eastAsia" w:asciiTheme="minorEastAsia" w:hAnsiTheme="minorEastAsia" w:eastAsiaTheme="minorEastAsia" w:cstheme="minorEastAsia"/>
          <w:color w:val="000000"/>
          <w:sz w:val="24"/>
          <w:szCs w:val="22"/>
        </w:rPr>
        <w:t>月-2019年</w:t>
      </w:r>
      <w:r>
        <w:rPr>
          <w:rFonts w:hint="eastAsia" w:asciiTheme="minorEastAsia" w:hAnsiTheme="minorEastAsia" w:eastAsiaTheme="minorEastAsia" w:cstheme="minorEastAsia"/>
          <w:color w:val="000000"/>
          <w:sz w:val="24"/>
          <w:szCs w:val="22"/>
          <w:lang w:val="en-US" w:eastAsia="zh-CN"/>
        </w:rPr>
        <w:t>10</w:t>
      </w:r>
      <w:r>
        <w:rPr>
          <w:rFonts w:hint="eastAsia" w:asciiTheme="minorEastAsia" w:hAnsiTheme="minorEastAsia" w:eastAsiaTheme="minorEastAsia" w:cstheme="minorEastAsia"/>
          <w:color w:val="000000"/>
          <w:sz w:val="24"/>
          <w:szCs w:val="22"/>
        </w:rPr>
        <w:t>月连续六个月的养老保险缴费清单复印件】。</w:t>
      </w:r>
    </w:p>
    <w:p>
      <w:pPr>
        <w:spacing w:line="360" w:lineRule="auto"/>
        <w:ind w:firstLine="480" w:firstLineChars="200"/>
        <w:rPr>
          <w:rFonts w:hint="eastAsia" w:asciiTheme="minorEastAsia" w:hAnsiTheme="minorEastAsia" w:eastAsiaTheme="minorEastAsia" w:cstheme="minorEastAsia"/>
          <w:color w:val="000000"/>
          <w:sz w:val="24"/>
          <w:szCs w:val="22"/>
        </w:rPr>
      </w:pPr>
      <w:r>
        <w:rPr>
          <w:rFonts w:hint="eastAsia" w:asciiTheme="minorEastAsia" w:hAnsiTheme="minorEastAsia" w:eastAsiaTheme="minorEastAsia" w:cstheme="minorEastAsia"/>
          <w:color w:val="000000"/>
          <w:sz w:val="24"/>
          <w:szCs w:val="22"/>
          <w:lang w:val="en-US" w:eastAsia="zh-CN"/>
        </w:rPr>
        <w:t>3</w:t>
      </w:r>
      <w:r>
        <w:rPr>
          <w:rFonts w:hint="eastAsia" w:asciiTheme="minorEastAsia" w:hAnsiTheme="minorEastAsia" w:eastAsiaTheme="minorEastAsia" w:cstheme="minorEastAsia"/>
          <w:color w:val="000000"/>
          <w:sz w:val="24"/>
          <w:szCs w:val="22"/>
        </w:rPr>
        <w:t>、投标供应商须提供参与本次项目政府采购活动前三年内，在经营活动中没有重大违法记录的书面《无重大违法记录声明函》（格式参见第八章）。</w:t>
      </w:r>
    </w:p>
    <w:p>
      <w:pPr>
        <w:spacing w:line="360" w:lineRule="auto"/>
        <w:ind w:firstLine="480" w:firstLineChars="200"/>
        <w:rPr>
          <w:rFonts w:hint="eastAsia"/>
        </w:rPr>
      </w:pPr>
      <w:r>
        <w:rPr>
          <w:rFonts w:hint="eastAsia" w:asciiTheme="minorEastAsia" w:hAnsiTheme="minorEastAsia" w:eastAsiaTheme="minorEastAsia" w:cstheme="minorEastAsia"/>
          <w:color w:val="000000"/>
          <w:sz w:val="24"/>
          <w:szCs w:val="22"/>
        </w:rPr>
        <w:t>4、关于资格文件的声明函（格式参见第八章）</w:t>
      </w:r>
      <w:r>
        <w:rPr>
          <w:rFonts w:hint="eastAsia" w:asciiTheme="minorEastAsia" w:hAnsiTheme="minorEastAsia" w:eastAsiaTheme="minorEastAsia" w:cstheme="minorEastAsia"/>
          <w:color w:val="000000"/>
          <w:sz w:val="24"/>
          <w:szCs w:val="22"/>
          <w:lang w:eastAsia="zh-CN"/>
        </w:rPr>
        <w:t>。</w:t>
      </w:r>
    </w:p>
    <w:p>
      <w:pPr>
        <w:adjustRightInd w:val="0"/>
        <w:snapToGrid w:val="0"/>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以上材料如为复印件均需加盖投标单位公章。</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二、技术响应文件（单独密封）：</w:t>
      </w:r>
    </w:p>
    <w:p>
      <w:pPr>
        <w:adjustRightInd w:val="0"/>
        <w:snapToGrid w:val="0"/>
        <w:spacing w:line="360" w:lineRule="auto"/>
        <w:ind w:firstLine="484" w:firstLineChars="202"/>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1、磋商文件中所涉及的事项需提供的所有资料；</w:t>
      </w:r>
    </w:p>
    <w:p>
      <w:pPr>
        <w:snapToGrid w:val="0"/>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2、磋商文件中未涉及的事项，投标供应商认为需要提交的其他资料。</w:t>
      </w:r>
    </w:p>
    <w:p>
      <w:pPr>
        <w:adjustRightInd w:val="0"/>
        <w:snapToGrid w:val="0"/>
        <w:spacing w:line="360" w:lineRule="auto"/>
        <w:ind w:firstLine="482" w:firstLineChars="200"/>
        <w:jc w:val="left"/>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 xml:space="preserve">特别提醒：“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adjustRightInd w:val="0"/>
        <w:snapToGrid w:val="0"/>
        <w:spacing w:line="360" w:lineRule="auto"/>
        <w:ind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三、商务报价响应文件（单独密封）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1.竞争性磋商响应函（格式参见第八章）；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2.磋商响应报价总表（格式参见第八章）；</w:t>
      </w:r>
    </w:p>
    <w:p>
      <w:pPr>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3.磋商响应报价明细表格式参见第八章）</w:t>
      </w:r>
      <w:r>
        <w:rPr>
          <w:rFonts w:hint="eastAsia" w:asciiTheme="minorEastAsia" w:hAnsiTheme="minorEastAsia" w:eastAsiaTheme="minorEastAsia" w:cstheme="minorEastAsia"/>
          <w:sz w:val="24"/>
          <w:szCs w:val="24"/>
          <w:lang w:eastAsia="zh-CN"/>
        </w:rPr>
        <w:t>。</w:t>
      </w:r>
    </w:p>
    <w:p>
      <w:pPr>
        <w:widowControl/>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附件:</w:t>
      </w:r>
    </w:p>
    <w:p>
      <w:pPr>
        <w:snapToGrid w:val="0"/>
        <w:spacing w:line="520" w:lineRule="exact"/>
        <w:jc w:val="center"/>
        <w:outlineLvl w:val="4"/>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1、法定代表人身份证明</w:t>
      </w:r>
    </w:p>
    <w:p>
      <w:pPr>
        <w:snapToGrid w:val="0"/>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（法定代表人参加投标，须出示此证明）</w:t>
      </w:r>
    </w:p>
    <w:p>
      <w:pPr>
        <w:snapToGrid w:val="0"/>
        <w:spacing w:line="520" w:lineRule="exact"/>
        <w:jc w:val="center"/>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snapToGrid w:val="0"/>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参加贵单位组织的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（竞争性磋商项目名称)项目的磋商活动，全权代表我公司处理该磋商活动的有关事宜。</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附：法定代表人情况：</w:t>
      </w:r>
    </w:p>
    <w:p>
      <w:pPr>
        <w:snapToGrid w:val="0"/>
        <w:spacing w:line="52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单位名称（公章）             法定代表人（签字或盖章）</w:t>
      </w:r>
    </w:p>
    <w:p>
      <w:pPr>
        <w:snapToGrid w:val="0"/>
        <w:spacing w:line="520" w:lineRule="exact"/>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月   日                 年   月    日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ind w:firstLine="2280" w:firstLineChars="9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（粘贴此处）</w:t>
      </w:r>
    </w:p>
    <w:p>
      <w:pPr>
        <w:snapToGrid w:val="0"/>
        <w:spacing w:line="52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注:参加磋商活动时法定代表人将身份证原件带至开标现场备查。</w:t>
      </w:r>
    </w:p>
    <w:p>
      <w:pPr>
        <w:snapToGrid w:val="0"/>
        <w:spacing w:line="520" w:lineRule="exact"/>
        <w:jc w:val="center"/>
        <w:outlineLvl w:val="4"/>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2、授权委托书</w:t>
      </w:r>
    </w:p>
    <w:p>
      <w:pPr>
        <w:snapToGrid w:val="0"/>
        <w:spacing w:line="5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（委托代理人参加投标，须出示此证明）</w:t>
      </w:r>
    </w:p>
    <w:p>
      <w:pPr>
        <w:snapToGrid w:val="0"/>
        <w:spacing w:line="52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snapToGrid w:val="0"/>
        <w:spacing w:line="520" w:lineRule="exact"/>
        <w:ind w:left="1"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被授权人的姓名）代表我公司参加</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被授权人无转委托权。特此委托。</w:t>
      </w:r>
    </w:p>
    <w:p>
      <w:pPr>
        <w:snapToGrid w:val="0"/>
        <w:spacing w:line="520" w:lineRule="exact"/>
        <w:ind w:left="1" w:firstLine="480" w:firstLineChars="200"/>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附：被授权人情况：</w:t>
      </w:r>
    </w:p>
    <w:p>
      <w:pPr>
        <w:snapToGrid w:val="0"/>
        <w:spacing w:line="52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z w:val="24"/>
          <w:szCs w:val="24"/>
          <w:u w:val="single"/>
          <w:lang w:val="en-US" w:eastAsia="zh-CN"/>
        </w:rPr>
        <w:t xml:space="preserve">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单位名称（公章）             法定代表人（签字或盖章）</w:t>
      </w:r>
    </w:p>
    <w:p>
      <w:pPr>
        <w:snapToGrid w:val="0"/>
        <w:spacing w:line="520" w:lineRule="exact"/>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年   月   日                 年   月    日  </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被授权人身份证复印件</w:t>
      </w: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（粘贴此处）</w:t>
      </w:r>
    </w:p>
    <w:p>
      <w:pPr>
        <w:snapToGrid w:val="0"/>
        <w:spacing w:line="520" w:lineRule="exact"/>
        <w:ind w:firstLine="482" w:firstLineChars="2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注:参加磋商活动时被授权人将身份证原件带至开标现场备查。</w:t>
      </w:r>
    </w:p>
    <w:p>
      <w:pPr>
        <w:overflowPunct w:val="0"/>
        <w:adjustRightInd w:val="0"/>
        <w:spacing w:line="360" w:lineRule="auto"/>
        <w:jc w:val="center"/>
        <w:textAlignment w:val="baseline"/>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8"/>
          <w:szCs w:val="28"/>
        </w:rPr>
        <w:t>、无重大违法记录声明</w:t>
      </w:r>
    </w:p>
    <w:p>
      <w:pPr>
        <w:spacing w:line="360" w:lineRule="auto"/>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u w:val="single"/>
        </w:rPr>
        <w:t>江苏省南通市人民检察院：</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我单位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color w:val="000000"/>
          <w:sz w:val="24"/>
          <w:szCs w:val="24"/>
        </w:rPr>
        <w:t>（供应商名称）郑重声明：</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参加政府采购活动前3年内在经营活动中____（在下划线上如实填写：有或没有）重大违法记录。</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声明人：（公章）</w:t>
      </w:r>
    </w:p>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年     月    日</w:t>
      </w:r>
    </w:p>
    <w:p>
      <w:pPr>
        <w:snapToGrid w:val="0"/>
        <w:spacing w:line="520" w:lineRule="exact"/>
        <w:jc w:val="center"/>
        <w:outlineLvl w:val="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4</w:t>
      </w:r>
      <w:r>
        <w:rPr>
          <w:rFonts w:hint="eastAsia" w:asciiTheme="minorEastAsia" w:hAnsiTheme="minorEastAsia" w:eastAsiaTheme="minorEastAsia" w:cstheme="minorEastAsia"/>
          <w:b/>
          <w:bCs/>
          <w:sz w:val="28"/>
          <w:szCs w:val="28"/>
        </w:rPr>
        <w:t>、关于资格文件的声明函</w:t>
      </w:r>
    </w:p>
    <w:p>
      <w:pPr>
        <w:pStyle w:val="9"/>
        <w:overflowPunct w:val="0"/>
        <w:spacing w:line="520" w:lineRule="exact"/>
        <w:jc w:val="center"/>
        <w:rPr>
          <w:rFonts w:hint="eastAsia" w:asciiTheme="minorEastAsia" w:hAnsiTheme="minorEastAsia" w:eastAsiaTheme="minorEastAsia" w:cstheme="minorEastAsia"/>
          <w:sz w:val="28"/>
          <w:szCs w:val="28"/>
        </w:rPr>
      </w:pPr>
    </w:p>
    <w:p>
      <w:pPr>
        <w:pStyle w:val="9"/>
        <w:overflowPunct w:val="0"/>
        <w:spacing w:line="520" w:lineRule="exact"/>
        <w:ind w:firstLine="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u w:val="single"/>
        </w:rPr>
        <w:t>江苏省南通市人民检察院</w:t>
      </w:r>
      <w:r>
        <w:rPr>
          <w:rFonts w:hint="eastAsia" w:asciiTheme="minorEastAsia" w:hAnsiTheme="minorEastAsia" w:eastAsiaTheme="minorEastAsia" w:cstheme="minorEastAsia"/>
          <w:szCs w:val="24"/>
        </w:rPr>
        <w:t>：</w:t>
      </w:r>
    </w:p>
    <w:p>
      <w:pPr>
        <w:pStyle w:val="9"/>
        <w:overflowPunct w:val="0"/>
        <w:spacing w:line="520" w:lineRule="exact"/>
        <w:ind w:firstLine="66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本公司愿就由贵单位组织实施的_____（招标项目名称)招标活动进行投标。本公司所提交的投标文件中所有关于投标资格的文件、证明和陈述均是真实的、准确的。若与真实情况不符，本公司愿意承担由此而产生的一切后果。</w:t>
      </w:r>
    </w:p>
    <w:p>
      <w:pPr>
        <w:pStyle w:val="9"/>
        <w:overflowPunct w:val="0"/>
        <w:spacing w:line="520" w:lineRule="exact"/>
        <w:rPr>
          <w:rFonts w:hint="eastAsia" w:asciiTheme="minorEastAsia" w:hAnsiTheme="minorEastAsia" w:eastAsiaTheme="minorEastAsia" w:cstheme="minorEastAsia"/>
          <w:szCs w:val="24"/>
        </w:rPr>
      </w:pPr>
    </w:p>
    <w:p>
      <w:pPr>
        <w:pStyle w:val="9"/>
        <w:overflowPunct w:val="0"/>
        <w:spacing w:line="520" w:lineRule="exact"/>
        <w:rPr>
          <w:rFonts w:hint="eastAsia" w:asciiTheme="minorEastAsia" w:hAnsiTheme="minorEastAsia" w:eastAsiaTheme="minorEastAsia" w:cstheme="minorEastAsia"/>
          <w:szCs w:val="24"/>
        </w:rPr>
      </w:pPr>
    </w:p>
    <w:p>
      <w:pPr>
        <w:pStyle w:val="9"/>
        <w:overflowPunct w:val="0"/>
        <w:spacing w:line="520" w:lineRule="exact"/>
        <w:rPr>
          <w:rFonts w:hint="eastAsia" w:asciiTheme="minorEastAsia" w:hAnsiTheme="minorEastAsia" w:eastAsiaTheme="minorEastAsia" w:cstheme="minorEastAsia"/>
          <w:szCs w:val="24"/>
        </w:rPr>
      </w:pPr>
    </w:p>
    <w:p>
      <w:pPr>
        <w:pStyle w:val="9"/>
        <w:overflowPunct w:val="0"/>
        <w:spacing w:line="52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 xml:space="preserve">        （投标供应商）法定代表人（签字或盖章）：</w:t>
      </w:r>
    </w:p>
    <w:p>
      <w:pPr>
        <w:pStyle w:val="9"/>
        <w:overflowPunct w:val="0"/>
        <w:spacing w:line="520" w:lineRule="exact"/>
        <w:ind w:left="1700" w:firstLine="425"/>
        <w:rPr>
          <w:rFonts w:hint="eastAsia" w:asciiTheme="minorEastAsia" w:hAnsiTheme="minorEastAsia" w:eastAsiaTheme="minorEastAsia" w:cstheme="minorEastAsia"/>
          <w:szCs w:val="24"/>
        </w:rPr>
      </w:pPr>
    </w:p>
    <w:p>
      <w:pPr>
        <w:pStyle w:val="9"/>
        <w:overflowPunct w:val="0"/>
        <w:spacing w:line="520" w:lineRule="exact"/>
        <w:ind w:left="1700" w:firstLine="425"/>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（投标供应商）公章：</w:t>
      </w:r>
    </w:p>
    <w:p>
      <w:pPr>
        <w:pStyle w:val="9"/>
        <w:overflowPunct w:val="0"/>
        <w:spacing w:line="520" w:lineRule="exact"/>
        <w:ind w:right="560"/>
        <w:rPr>
          <w:rFonts w:hint="eastAsia" w:asciiTheme="minorEastAsia" w:hAnsiTheme="minorEastAsia" w:eastAsiaTheme="minorEastAsia" w:cstheme="minorEastAsia"/>
          <w:szCs w:val="24"/>
        </w:rPr>
      </w:pPr>
    </w:p>
    <w:p>
      <w:pPr>
        <w:pStyle w:val="9"/>
        <w:overflowPunct w:val="0"/>
        <w:spacing w:line="520" w:lineRule="exact"/>
        <w:ind w:right="560" w:firstLine="4320" w:firstLineChars="18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 年</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 xml:space="preserve"> 月 </w:t>
      </w:r>
      <w:r>
        <w:rPr>
          <w:rFonts w:hint="eastAsia" w:asciiTheme="minorEastAsia" w:hAnsiTheme="minorEastAsia" w:eastAsiaTheme="minorEastAsia" w:cstheme="minorEastAsia"/>
          <w:szCs w:val="24"/>
        </w:rPr>
        <w:tab/>
      </w:r>
      <w:r>
        <w:rPr>
          <w:rFonts w:hint="eastAsia" w:asciiTheme="minorEastAsia" w:hAnsiTheme="minorEastAsia" w:eastAsiaTheme="minorEastAsia" w:cstheme="minorEastAsia"/>
          <w:szCs w:val="24"/>
        </w:rPr>
        <w:t>日</w:t>
      </w:r>
    </w:p>
    <w:p>
      <w:pPr>
        <w:pStyle w:val="9"/>
        <w:overflowPunct w:val="0"/>
        <w:spacing w:line="520" w:lineRule="exact"/>
        <w:ind w:right="560" w:firstLine="4320" w:firstLineChars="18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br w:type="page"/>
      </w:r>
    </w:p>
    <w:p>
      <w:pPr>
        <w:snapToGrid w:val="0"/>
        <w:spacing w:line="520" w:lineRule="exact"/>
        <w:ind w:firstLine="562" w:firstLineChars="20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5、竞争性磋商响应函</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江苏省南通市人民检察院</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依据贵单位委托代理机构组织的</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（磋商项目名称)项目竞争性磋商的邀请，我方授权</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（职务）为全权代表参加该项目的磋商工作，全权处理本次竞争性磋商的有关事宜。同时，我公司声明如下：</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94" w:firstLineChars="206"/>
        <w:textAlignment w:val="auto"/>
        <w:rPr>
          <w:rFonts w:hint="eastAsia" w:asciiTheme="minorEastAsia" w:hAnsiTheme="minorEastAsia" w:eastAsiaTheme="minorEastAsia" w:cstheme="minorEastAsia"/>
          <w:sz w:val="24"/>
          <w:szCs w:val="24"/>
          <w:highlight w:val="yellow"/>
          <w:lang w:val="en-US" w:eastAsia="zh-CN"/>
        </w:rPr>
      </w:pPr>
      <w:r>
        <w:rPr>
          <w:rFonts w:hint="eastAsia" w:asciiTheme="minorEastAsia" w:hAnsiTheme="minorEastAsia" w:eastAsiaTheme="minorEastAsia" w:cstheme="minorEastAsia"/>
          <w:sz w:val="24"/>
          <w:szCs w:val="24"/>
        </w:rPr>
        <w:t>1、我公司愿意按照竞争性磋商文件的一切要求，提供完成该项目的全部内容，我公司的投标报价</w:t>
      </w:r>
      <w:r>
        <w:rPr>
          <w:rFonts w:hint="eastAsia" w:asciiTheme="minorEastAsia" w:hAnsiTheme="minorEastAsia" w:eastAsiaTheme="minorEastAsia" w:cstheme="minorEastAsia"/>
          <w:sz w:val="24"/>
          <w:szCs w:val="24"/>
          <w:lang w:eastAsia="zh-CN"/>
        </w:rPr>
        <w:t>包含所有设备费、安装调试费、运输到指定地点的装运费用（含装卸力资）、相关安装辅助材料费、连接运行配件</w:t>
      </w:r>
      <w:r>
        <w:rPr>
          <w:rFonts w:hint="eastAsia" w:asciiTheme="minorEastAsia" w:hAnsiTheme="minorEastAsia" w:eastAsiaTheme="minorEastAsia" w:cstheme="minorEastAsia"/>
          <w:sz w:val="24"/>
          <w:szCs w:val="24"/>
          <w:lang w:val="en-US" w:eastAsia="zh-CN"/>
        </w:rPr>
        <w:t>费、施工后的修补、</w:t>
      </w:r>
      <w:r>
        <w:rPr>
          <w:rFonts w:hint="eastAsia" w:asciiTheme="minorEastAsia" w:hAnsiTheme="minorEastAsia" w:eastAsiaTheme="minorEastAsia" w:cstheme="minorEastAsia"/>
          <w:sz w:val="24"/>
          <w:szCs w:val="24"/>
          <w:lang w:eastAsia="zh-CN"/>
        </w:rPr>
        <w:t>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w:t>
      </w:r>
      <w:r>
        <w:rPr>
          <w:rFonts w:hint="eastAsia" w:asciiTheme="minorEastAsia" w:hAnsiTheme="minorEastAsia" w:eastAsiaTheme="minorEastAsia" w:cstheme="minorEastAsia"/>
          <w:sz w:val="24"/>
          <w:szCs w:val="24"/>
          <w:lang w:val="en-US" w:eastAsia="zh-CN"/>
        </w:rPr>
        <w:t>中标供应商有义务保证甲方系统的完整性，部分连接运行配件未在谈判文件中明示的，中标供应商须予以补充。如项目实施过程中因缺少设备、配件或服务导致采购人系统无法正常运行，中标供应商须免费提供；除采购人明确提出的变更外，本项目不再增加任何费用。</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2、我公司已经详细阅读了竞争性磋商文件的全部内容，我公司已完全清晰理解竞争性磋商文件的要求，不存在任何含糊不清和误解之处，同意放弃对竞争性磋商文件所表述的内容提出异议和质疑的权利。</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3、我公司已毫无保留地向贵方提供一切所需的证明材料。</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4、我公司承诺在本次磋商响应中提供的一切文件，无论是原件还是复印件均真实有效，绝无任何虚假、伪造和夸大的成份。否则，愿承担相应的后果和法律责任。</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5、我公司尊重磋商小组所作的评定结果，同时清楚理解到报价最低并非意味着必定获得成交资格。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6、一旦成交，我公司承诺无正当理由拒绝签订合同，将被贵方取消成交资格，同意贵方将磋商保证金作为违约金全额不予退还的处理。</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textAlignment w:val="auto"/>
        <w:outlineLvl w:val="3"/>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bCs/>
          <w:sz w:val="24"/>
          <w:szCs w:val="24"/>
        </w:rPr>
        <w:t>一旦成交，我方将根据竞争性磋商文件的规定，严格履行合同规定的责任和义务，并保证在竞争性磋商文件中规定的时间期限内完成合同项目。</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竞争性磋商响应单位：（加盖公章）</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法定代表人或被授权人：（签字或盖章）</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right"/>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spacing w:line="500" w:lineRule="exact"/>
        <w:ind w:left="487"/>
        <w:jc w:val="center"/>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bCs/>
          <w:sz w:val="28"/>
          <w:szCs w:val="28"/>
        </w:rPr>
        <w:t>6、磋商响应报价总表</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bl>
      <w:tblPr>
        <w:tblStyle w:val="20"/>
        <w:tblW w:w="9654" w:type="dxa"/>
        <w:tblInd w:w="-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2126"/>
        <w:gridCol w:w="453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报价轮次</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磋商总报价（元）</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首次报价</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大写（人民币）：</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小写（￥）：</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hint="eastAsia" w:asciiTheme="minorEastAsia" w:hAnsiTheme="minorEastAsia" w:eastAsiaTheme="minorEastAsia" w:cstheme="minorEastAsia"/>
                <w:sz w:val="24"/>
                <w:szCs w:val="24"/>
              </w:rPr>
            </w:pPr>
          </w:p>
        </w:tc>
      </w:tr>
    </w:tbl>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             </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w:t>
      </w:r>
    </w:p>
    <w:p>
      <w:pPr>
        <w:numPr>
          <w:ilvl w:val="0"/>
          <w:numId w:val="9"/>
        </w:numPr>
        <w:kinsoku w:val="0"/>
        <w:topLinePunct/>
        <w:snapToGrid w:val="0"/>
        <w:spacing w:line="520" w:lineRule="exac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本表为格式表，不得自行改动，必须提供。</w:t>
      </w:r>
    </w:p>
    <w:p>
      <w:pPr>
        <w:numPr>
          <w:ilvl w:val="0"/>
          <w:numId w:val="9"/>
        </w:numPr>
        <w:kinsoku w:val="0"/>
        <w:topLinePunct/>
        <w:snapToGrid w:val="0"/>
        <w:spacing w:line="5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highlight w:val="none"/>
        </w:rPr>
        <w:t>磋商报价的总价中</w:t>
      </w:r>
      <w:r>
        <w:rPr>
          <w:rFonts w:hint="eastAsia" w:asciiTheme="minorEastAsia" w:hAnsiTheme="minorEastAsia" w:eastAsiaTheme="minorEastAsia" w:cstheme="minorEastAsia"/>
          <w:sz w:val="24"/>
          <w:szCs w:val="24"/>
          <w:highlight w:val="none"/>
          <w:lang w:eastAsia="zh-CN"/>
        </w:rPr>
        <w:t>包含所有设备费、安装调试费、运输到指定地点的装运费用（含装卸力资）、相关安装辅助材料费、连接运行配件</w:t>
      </w:r>
      <w:r>
        <w:rPr>
          <w:rFonts w:hint="eastAsia" w:asciiTheme="minorEastAsia" w:hAnsiTheme="minorEastAsia" w:eastAsiaTheme="minorEastAsia" w:cstheme="minorEastAsia"/>
          <w:sz w:val="24"/>
          <w:szCs w:val="24"/>
          <w:highlight w:val="none"/>
          <w:lang w:val="en-US" w:eastAsia="zh-CN"/>
        </w:rPr>
        <w:t>费、施工后的修补、</w:t>
      </w:r>
      <w:r>
        <w:rPr>
          <w:rFonts w:hint="eastAsia" w:asciiTheme="minorEastAsia" w:hAnsiTheme="minorEastAsia" w:eastAsiaTheme="minorEastAsia" w:cstheme="minorEastAsia"/>
          <w:sz w:val="24"/>
          <w:szCs w:val="24"/>
          <w:highlight w:val="none"/>
          <w:lang w:eastAsia="zh-CN"/>
        </w:rPr>
        <w:t>成品保护费、检测验收费、技术支持与培训、税费、售后服务及相关劳务支出等工作所发生的全部费用以及企业利润、税金和政策性文件规定及合同包含的所有风险、责任等各项应有费用。即招标物交付使用前的所有费用以及免保期内的服务费用等包含响应谈判文件采购要求的所有费用。</w:t>
      </w:r>
      <w:r>
        <w:rPr>
          <w:rFonts w:hint="eastAsia" w:asciiTheme="minorEastAsia" w:hAnsiTheme="minorEastAsia" w:eastAsiaTheme="minorEastAsia" w:cstheme="minorEastAsia"/>
          <w:sz w:val="24"/>
          <w:szCs w:val="24"/>
          <w:highlight w:val="none"/>
          <w:lang w:val="en-US" w:eastAsia="zh-CN"/>
        </w:rPr>
        <w:t>中标</w:t>
      </w:r>
      <w:r>
        <w:rPr>
          <w:rFonts w:hint="eastAsia" w:asciiTheme="minorEastAsia" w:hAnsiTheme="minorEastAsia" w:eastAsiaTheme="minorEastAsia" w:cstheme="minorEastAsia"/>
          <w:sz w:val="24"/>
          <w:szCs w:val="24"/>
          <w:lang w:val="en-US" w:eastAsia="zh-CN"/>
        </w:rPr>
        <w:t>供应商有义务保证甲方系统的完整性，部分连接运行配件未在谈判文件中明示的，中标供应商须予以补充。如项目实施过程中因缺少设备、配件或服务导致采购人系统无法正常运行，中标供应商须免费提供；除采购人明确提出的变更外，本项目不再增加任何费用。</w:t>
      </w:r>
    </w:p>
    <w:p>
      <w:pPr>
        <w:kinsoku w:val="0"/>
        <w:topLinePunct/>
        <w:snapToGrid w:val="0"/>
        <w:spacing w:line="520" w:lineRule="exact"/>
        <w:rPr>
          <w:rFonts w:hint="eastAsia" w:asciiTheme="minorEastAsia" w:hAnsiTheme="minorEastAsia" w:eastAsiaTheme="minorEastAsia" w:cstheme="minorEastAsia"/>
          <w:sz w:val="24"/>
          <w:szCs w:val="24"/>
        </w:rPr>
      </w:pPr>
    </w:p>
    <w:p>
      <w:pPr>
        <w:kinsoku w:val="0"/>
        <w:topLinePunct/>
        <w:snapToGrid w:val="0"/>
        <w:spacing w:line="52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注：第二次、第三次报价将在开标现场填写，响应文件密封提交时只需填写磋商报价总计（首次）。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numPr>
          <w:ilvl w:val="0"/>
          <w:numId w:val="10"/>
        </w:numPr>
        <w:spacing w:line="500" w:lineRule="exact"/>
        <w:jc w:val="center"/>
        <w:outlineLvl w:val="3"/>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磋商响应报价明细表</w:t>
      </w:r>
    </w:p>
    <w:p>
      <w:pPr>
        <w:pStyle w:val="2"/>
        <w:ind w:left="0" w:leftChars="0" w:firstLine="0" w:firstLine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4"/>
          <w:szCs w:val="24"/>
        </w:rPr>
        <w:t>项目名称：</w:t>
      </w:r>
    </w:p>
    <w:tbl>
      <w:tblPr>
        <w:tblStyle w:val="20"/>
        <w:tblW w:w="9342" w:type="dxa"/>
        <w:jc w:val="center"/>
        <w:tblLayout w:type="fixed"/>
        <w:tblCellMar>
          <w:top w:w="0" w:type="dxa"/>
          <w:left w:w="108" w:type="dxa"/>
          <w:bottom w:w="0" w:type="dxa"/>
          <w:right w:w="108" w:type="dxa"/>
        </w:tblCellMar>
      </w:tblPr>
      <w:tblGrid>
        <w:gridCol w:w="676"/>
        <w:gridCol w:w="922"/>
        <w:gridCol w:w="2328"/>
        <w:gridCol w:w="1652"/>
        <w:gridCol w:w="668"/>
        <w:gridCol w:w="1032"/>
        <w:gridCol w:w="1032"/>
        <w:gridCol w:w="1032"/>
      </w:tblGrid>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CN"/>
              </w:rPr>
              <w:t>所投</w:t>
            </w:r>
            <w:r>
              <w:rPr>
                <w:rFonts w:hint="eastAsia" w:ascii="宋体" w:hAnsi="宋体" w:cs="宋体"/>
                <w:b/>
                <w:bCs/>
                <w:kern w:val="0"/>
                <w:sz w:val="20"/>
                <w:szCs w:val="20"/>
              </w:rPr>
              <w:t>品牌</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lang w:eastAsia="zh-CN"/>
              </w:rPr>
              <w:t>单价（元）</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lang w:eastAsia="zh-CN"/>
              </w:rPr>
              <w:t>总价（元）</w:t>
            </w:r>
          </w:p>
        </w:tc>
      </w:tr>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1</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2</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3</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lang w:eastAsia="zh-CN"/>
              </w:rPr>
              <w:t>……</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439"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2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p>
        </w:tc>
      </w:tr>
      <w:tr>
        <w:tblPrEx>
          <w:tblCellMar>
            <w:top w:w="0" w:type="dxa"/>
            <w:left w:w="108" w:type="dxa"/>
            <w:bottom w:w="0" w:type="dxa"/>
            <w:right w:w="108" w:type="dxa"/>
          </w:tblCellMar>
        </w:tblPrEx>
        <w:trPr>
          <w:trHeight w:val="439" w:hRule="atLeast"/>
          <w:jc w:val="center"/>
        </w:trPr>
        <w:tc>
          <w:tcPr>
            <w:tcW w:w="9342" w:type="dxa"/>
            <w:gridSpan w:val="8"/>
            <w:tcBorders>
              <w:top w:val="single" w:color="auto" w:sz="4" w:space="0"/>
              <w:left w:val="single" w:color="auto" w:sz="4" w:space="0"/>
              <w:bottom w:val="single" w:color="auto" w:sz="4" w:space="0"/>
            </w:tcBorders>
            <w:shd w:val="clear" w:color="auto" w:fill="auto"/>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lang w:eastAsia="zh-CN"/>
              </w:rPr>
              <w:t>合计：</w:t>
            </w: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u w:val="single"/>
                <w:lang w:val="en-US" w:eastAsia="zh-CN"/>
              </w:rPr>
              <w:t xml:space="preserve">            </w:t>
            </w:r>
            <w:r>
              <w:rPr>
                <w:rFonts w:hint="eastAsia" w:ascii="宋体" w:hAnsi="宋体" w:cs="宋体"/>
                <w:b/>
                <w:bCs/>
                <w:kern w:val="0"/>
                <w:sz w:val="20"/>
                <w:szCs w:val="20"/>
                <w:lang w:val="en-US" w:eastAsia="zh-CN"/>
              </w:rPr>
              <w:t>（人民币大写：</w:t>
            </w:r>
            <w:r>
              <w:rPr>
                <w:rFonts w:hint="eastAsia" w:ascii="宋体" w:hAnsi="宋体" w:cs="宋体"/>
                <w:b/>
                <w:bCs/>
                <w:kern w:val="0"/>
                <w:sz w:val="20"/>
                <w:szCs w:val="20"/>
                <w:u w:val="single"/>
                <w:lang w:val="en-US" w:eastAsia="zh-CN"/>
              </w:rPr>
              <w:t xml:space="preserve">              </w:t>
            </w:r>
            <w:r>
              <w:rPr>
                <w:rFonts w:hint="eastAsia" w:ascii="宋体" w:hAnsi="宋体" w:cs="宋体"/>
                <w:b/>
                <w:bCs/>
                <w:kern w:val="0"/>
                <w:sz w:val="20"/>
                <w:szCs w:val="20"/>
                <w:lang w:val="en-US" w:eastAsia="zh-CN"/>
              </w:rPr>
              <w:t>）</w:t>
            </w:r>
          </w:p>
        </w:tc>
      </w:tr>
    </w:tbl>
    <w:p>
      <w:pPr>
        <w:pStyle w:val="2"/>
        <w:numPr>
          <w:ilvl w:val="0"/>
          <w:numId w:val="0"/>
        </w:numPr>
        <w:ind w:leftChars="400"/>
        <w:rPr>
          <w:rFonts w:hint="eastAsia"/>
        </w:rPr>
      </w:pP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             </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法定代表人或被授权人（签字）：</w:t>
      </w:r>
    </w:p>
    <w:p>
      <w:pPr>
        <w:kinsoku w:val="0"/>
        <w:topLinePunct/>
        <w:snapToGrid w:val="0"/>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520" w:lineRule="exact"/>
        <w:rPr>
          <w:rFonts w:hint="eastAsia" w:asciiTheme="minorEastAsia" w:hAnsiTheme="minorEastAsia" w:eastAsiaTheme="minorEastAsia" w:cstheme="minorEastAsia"/>
          <w:b/>
          <w:sz w:val="24"/>
          <w:szCs w:val="24"/>
        </w:rPr>
      </w:pPr>
    </w:p>
    <w:p>
      <w:pPr>
        <w:spacing w:line="500" w:lineRule="exact"/>
        <w:outlineLvl w:val="3"/>
        <w:rPr>
          <w:rFonts w:hint="eastAsia" w:asciiTheme="minorEastAsia" w:hAnsiTheme="minorEastAsia" w:eastAsiaTheme="minorEastAsia" w:cstheme="minorEastAsia"/>
          <w:b/>
          <w:bCs/>
          <w:sz w:val="28"/>
          <w:szCs w:val="28"/>
        </w:rPr>
      </w:pPr>
    </w:p>
    <w:sectPr>
      <w:footerReference r:id="rId4" w:type="default"/>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文本框 1025" o:spid="_x0000_s102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v:path/>
          <v:fill on="f" focussize="0,0"/>
          <v:stroke on="f" joinstyle="miter"/>
          <v:imagedata o:title=""/>
          <o:lock v:ext="edit"/>
          <v:textbox inset="0mm,0mm,0mm,0mm" style="mso-fit-shape-to-text:t;">
            <w:txbxContent>
              <w:p>
                <w:pPr>
                  <w:pStyle w:val="16"/>
                  <w:jc w:val="center"/>
                </w:pPr>
                <w:r>
                  <w:fldChar w:fldCharType="begin"/>
                </w:r>
                <w:r>
                  <w:instrText xml:space="preserve">PAGE   \* MERGEFORMAT</w:instrText>
                </w:r>
                <w:r>
                  <w:fldChar w:fldCharType="separate"/>
                </w:r>
                <w:r>
                  <w:rPr>
                    <w:lang w:val="zh-CN"/>
                  </w:rPr>
                  <w:t>-</w:t>
                </w:r>
                <w:r>
                  <w:t xml:space="preserve"> 32 -</w:t>
                </w:r>
                <w:r>
                  <w:fldChar w:fldCharType="end"/>
                </w:r>
              </w:p>
            </w:txbxContent>
          </v:textbox>
        </v:shape>
      </w:pict>
    </w:r>
  </w:p>
  <w:p>
    <w:pPr>
      <w:pStyle w:val="16"/>
      <w:wordWrap w:val="0"/>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pStyle w:val="16"/>
                  <w:rPr>
                    <w:rStyle w:val="24"/>
                  </w:rPr>
                </w:pPr>
                <w:r>
                  <w:fldChar w:fldCharType="begin"/>
                </w:r>
                <w:r>
                  <w:rPr>
                    <w:rStyle w:val="24"/>
                  </w:rPr>
                  <w:instrText xml:space="preserve">PAGE  </w:instrText>
                </w:r>
                <w:r>
                  <w:fldChar w:fldCharType="separate"/>
                </w:r>
                <w:r>
                  <w:rPr>
                    <w:rStyle w:val="24"/>
                  </w:rPr>
                  <w:t>51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2CBB2"/>
    <w:multiLevelType w:val="singleLevel"/>
    <w:tmpl w:val="8E92CBB2"/>
    <w:lvl w:ilvl="0" w:tentative="0">
      <w:start w:val="3"/>
      <w:numFmt w:val="decimal"/>
      <w:suff w:val="nothing"/>
      <w:lvlText w:val="%1、"/>
      <w:lvlJc w:val="left"/>
    </w:lvl>
  </w:abstractNum>
  <w:abstractNum w:abstractNumId="1">
    <w:nsid w:val="A4D77078"/>
    <w:multiLevelType w:val="singleLevel"/>
    <w:tmpl w:val="A4D77078"/>
    <w:lvl w:ilvl="0" w:tentative="0">
      <w:start w:val="1"/>
      <w:numFmt w:val="decimal"/>
      <w:suff w:val="nothing"/>
      <w:lvlText w:val="（%1）"/>
      <w:lvlJc w:val="left"/>
    </w:lvl>
  </w:abstractNum>
  <w:abstractNum w:abstractNumId="2">
    <w:nsid w:val="B8FDD9D5"/>
    <w:multiLevelType w:val="singleLevel"/>
    <w:tmpl w:val="B8FDD9D5"/>
    <w:lvl w:ilvl="0" w:tentative="0">
      <w:start w:val="8"/>
      <w:numFmt w:val="chineseCounting"/>
      <w:suff w:val="space"/>
      <w:lvlText w:val="第%1章"/>
      <w:lvlJc w:val="left"/>
      <w:rPr>
        <w:rFonts w:hint="eastAsia"/>
      </w:rPr>
    </w:lvl>
  </w:abstractNum>
  <w:abstractNum w:abstractNumId="3">
    <w:nsid w:val="2DC756D7"/>
    <w:multiLevelType w:val="multilevel"/>
    <w:tmpl w:val="2DC756D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346B5D"/>
    <w:multiLevelType w:val="multilevel"/>
    <w:tmpl w:val="59346B5D"/>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598E6C04"/>
    <w:multiLevelType w:val="singleLevel"/>
    <w:tmpl w:val="598E6C04"/>
    <w:lvl w:ilvl="0" w:tentative="0">
      <w:start w:val="1"/>
      <w:numFmt w:val="decimal"/>
      <w:suff w:val="nothing"/>
      <w:lvlText w:val="（%1）"/>
      <w:lvlJc w:val="left"/>
    </w:lvl>
  </w:abstractNum>
  <w:abstractNum w:abstractNumId="6">
    <w:nsid w:val="598E707A"/>
    <w:multiLevelType w:val="singleLevel"/>
    <w:tmpl w:val="598E707A"/>
    <w:lvl w:ilvl="0" w:tentative="0">
      <w:start w:val="5"/>
      <w:numFmt w:val="chineseCounting"/>
      <w:suff w:val="space"/>
      <w:lvlText w:val="第%1章"/>
      <w:lvlJc w:val="left"/>
    </w:lvl>
  </w:abstractNum>
  <w:abstractNum w:abstractNumId="7">
    <w:nsid w:val="5DF23D77"/>
    <w:multiLevelType w:val="singleLevel"/>
    <w:tmpl w:val="5DF23D77"/>
    <w:lvl w:ilvl="0" w:tentative="0">
      <w:start w:val="1"/>
      <w:numFmt w:val="chineseCounting"/>
      <w:suff w:val="nothing"/>
      <w:lvlText w:val="%1、"/>
      <w:lvlJc w:val="left"/>
      <w:rPr>
        <w:rFonts w:cs="Times New Roman"/>
      </w:rPr>
    </w:lvl>
  </w:abstractNum>
  <w:abstractNum w:abstractNumId="8">
    <w:nsid w:val="5DF24ACE"/>
    <w:multiLevelType w:val="singleLevel"/>
    <w:tmpl w:val="5DF24ACE"/>
    <w:lvl w:ilvl="0" w:tentative="0">
      <w:start w:val="7"/>
      <w:numFmt w:val="decimal"/>
      <w:suff w:val="nothing"/>
      <w:lvlText w:val="%1、"/>
      <w:lvlJc w:val="left"/>
    </w:lvl>
  </w:abstractNum>
  <w:abstractNum w:abstractNumId="9">
    <w:nsid w:val="7BD7B767"/>
    <w:multiLevelType w:val="singleLevel"/>
    <w:tmpl w:val="7BD7B767"/>
    <w:lvl w:ilvl="0" w:tentative="0">
      <w:start w:val="1"/>
      <w:numFmt w:val="chineseCounting"/>
      <w:suff w:val="nothing"/>
      <w:lvlText w:val="（%1）"/>
      <w:lvlJc w:val="left"/>
      <w:rPr>
        <w:rFonts w:hint="eastAsia"/>
      </w:rPr>
    </w:lvl>
  </w:abstractNum>
  <w:num w:numId="1">
    <w:abstractNumId w:val="7"/>
    <w:lvlOverride w:ilvl="0">
      <w:startOverride w:val="1"/>
    </w:lvlOverride>
  </w:num>
  <w:num w:numId="2">
    <w:abstractNumId w:val="0"/>
  </w:num>
  <w:num w:numId="3">
    <w:abstractNumId w:val="3"/>
  </w:num>
  <w:num w:numId="4">
    <w:abstractNumId w:val="4"/>
  </w:num>
  <w:num w:numId="5">
    <w:abstractNumId w:val="9"/>
  </w:num>
  <w:num w:numId="6">
    <w:abstractNumId w:val="1"/>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44B0718"/>
    <w:rsid w:val="000178D2"/>
    <w:rsid w:val="001059D6"/>
    <w:rsid w:val="00105E2E"/>
    <w:rsid w:val="0011757D"/>
    <w:rsid w:val="0013543D"/>
    <w:rsid w:val="00192D99"/>
    <w:rsid w:val="001B551C"/>
    <w:rsid w:val="0022707D"/>
    <w:rsid w:val="00255D14"/>
    <w:rsid w:val="002743BC"/>
    <w:rsid w:val="00277365"/>
    <w:rsid w:val="00342FA2"/>
    <w:rsid w:val="003E4DC5"/>
    <w:rsid w:val="00464472"/>
    <w:rsid w:val="0046717B"/>
    <w:rsid w:val="00472D79"/>
    <w:rsid w:val="004B6E75"/>
    <w:rsid w:val="004E4FF8"/>
    <w:rsid w:val="00512068"/>
    <w:rsid w:val="00526E10"/>
    <w:rsid w:val="005574AC"/>
    <w:rsid w:val="00565924"/>
    <w:rsid w:val="005767EC"/>
    <w:rsid w:val="005D0A1F"/>
    <w:rsid w:val="006A3871"/>
    <w:rsid w:val="00715CB4"/>
    <w:rsid w:val="007167BB"/>
    <w:rsid w:val="0079362C"/>
    <w:rsid w:val="00852F65"/>
    <w:rsid w:val="008D1D59"/>
    <w:rsid w:val="00907C01"/>
    <w:rsid w:val="0091255C"/>
    <w:rsid w:val="00995CD8"/>
    <w:rsid w:val="009D5F86"/>
    <w:rsid w:val="00A13104"/>
    <w:rsid w:val="00B11F90"/>
    <w:rsid w:val="00B21973"/>
    <w:rsid w:val="00BB6579"/>
    <w:rsid w:val="00BE3794"/>
    <w:rsid w:val="00D53F91"/>
    <w:rsid w:val="00D64019"/>
    <w:rsid w:val="00D66B0B"/>
    <w:rsid w:val="00D80B06"/>
    <w:rsid w:val="00DC6E81"/>
    <w:rsid w:val="00E6299A"/>
    <w:rsid w:val="00E70D28"/>
    <w:rsid w:val="00F43063"/>
    <w:rsid w:val="00F638D9"/>
    <w:rsid w:val="00F7581C"/>
    <w:rsid w:val="00FF41AF"/>
    <w:rsid w:val="01A96ECC"/>
    <w:rsid w:val="01D71780"/>
    <w:rsid w:val="02C70822"/>
    <w:rsid w:val="032855F8"/>
    <w:rsid w:val="03664E8D"/>
    <w:rsid w:val="04583B3B"/>
    <w:rsid w:val="04DC2D07"/>
    <w:rsid w:val="07035E41"/>
    <w:rsid w:val="07EC441D"/>
    <w:rsid w:val="08A2692F"/>
    <w:rsid w:val="08D1629C"/>
    <w:rsid w:val="0D6F0144"/>
    <w:rsid w:val="0DC64BF2"/>
    <w:rsid w:val="0EA330F7"/>
    <w:rsid w:val="11100E8E"/>
    <w:rsid w:val="12576EC4"/>
    <w:rsid w:val="13110BD7"/>
    <w:rsid w:val="13922068"/>
    <w:rsid w:val="14D363D9"/>
    <w:rsid w:val="16BA3A31"/>
    <w:rsid w:val="195E5F23"/>
    <w:rsid w:val="1B630422"/>
    <w:rsid w:val="1CE86D71"/>
    <w:rsid w:val="1D6C55B5"/>
    <w:rsid w:val="1DD47021"/>
    <w:rsid w:val="206B5636"/>
    <w:rsid w:val="210A1A06"/>
    <w:rsid w:val="21122563"/>
    <w:rsid w:val="213A144A"/>
    <w:rsid w:val="23196DBC"/>
    <w:rsid w:val="236731B9"/>
    <w:rsid w:val="24F04AEE"/>
    <w:rsid w:val="25EC5BF6"/>
    <w:rsid w:val="272A52D2"/>
    <w:rsid w:val="281C28AB"/>
    <w:rsid w:val="2B442EF4"/>
    <w:rsid w:val="2B4642E7"/>
    <w:rsid w:val="2B660DB2"/>
    <w:rsid w:val="2D561D54"/>
    <w:rsid w:val="2E033906"/>
    <w:rsid w:val="2E3872F6"/>
    <w:rsid w:val="2EC75748"/>
    <w:rsid w:val="30342019"/>
    <w:rsid w:val="323C4E3C"/>
    <w:rsid w:val="34AA514A"/>
    <w:rsid w:val="36B3464F"/>
    <w:rsid w:val="39F50E8A"/>
    <w:rsid w:val="3B5801B5"/>
    <w:rsid w:val="3C053B7F"/>
    <w:rsid w:val="3DEF3379"/>
    <w:rsid w:val="3F824EAF"/>
    <w:rsid w:val="4318379F"/>
    <w:rsid w:val="441E39A1"/>
    <w:rsid w:val="444B0718"/>
    <w:rsid w:val="450D65F6"/>
    <w:rsid w:val="46380C46"/>
    <w:rsid w:val="463E697E"/>
    <w:rsid w:val="46DC361D"/>
    <w:rsid w:val="474914CD"/>
    <w:rsid w:val="48085D23"/>
    <w:rsid w:val="4808672B"/>
    <w:rsid w:val="490156BE"/>
    <w:rsid w:val="496E48DE"/>
    <w:rsid w:val="49AA0D2C"/>
    <w:rsid w:val="4A397694"/>
    <w:rsid w:val="4A4C4DC5"/>
    <w:rsid w:val="4A6C59B4"/>
    <w:rsid w:val="4B91469A"/>
    <w:rsid w:val="4C57756C"/>
    <w:rsid w:val="4CA04F14"/>
    <w:rsid w:val="4CCB799A"/>
    <w:rsid w:val="4D6D7254"/>
    <w:rsid w:val="4E274886"/>
    <w:rsid w:val="4E591E97"/>
    <w:rsid w:val="4F680791"/>
    <w:rsid w:val="4FE376EE"/>
    <w:rsid w:val="503E0689"/>
    <w:rsid w:val="507C0372"/>
    <w:rsid w:val="51404BFA"/>
    <w:rsid w:val="52321E33"/>
    <w:rsid w:val="52EF5515"/>
    <w:rsid w:val="538E1053"/>
    <w:rsid w:val="53A37EE8"/>
    <w:rsid w:val="54A263D4"/>
    <w:rsid w:val="55830003"/>
    <w:rsid w:val="56452F9B"/>
    <w:rsid w:val="58097412"/>
    <w:rsid w:val="5D86754A"/>
    <w:rsid w:val="5D962D79"/>
    <w:rsid w:val="5EFF36DC"/>
    <w:rsid w:val="5F7B2939"/>
    <w:rsid w:val="5FBB21E6"/>
    <w:rsid w:val="626634EA"/>
    <w:rsid w:val="628A3B23"/>
    <w:rsid w:val="632F0361"/>
    <w:rsid w:val="63741AFC"/>
    <w:rsid w:val="63A14784"/>
    <w:rsid w:val="63B374D3"/>
    <w:rsid w:val="654B0FFE"/>
    <w:rsid w:val="66077DC5"/>
    <w:rsid w:val="676E6E34"/>
    <w:rsid w:val="677E1DA5"/>
    <w:rsid w:val="68AE2B46"/>
    <w:rsid w:val="69EF4341"/>
    <w:rsid w:val="6ABA535B"/>
    <w:rsid w:val="6ACF7F3C"/>
    <w:rsid w:val="6AD36E74"/>
    <w:rsid w:val="6D5C5379"/>
    <w:rsid w:val="6E252AB0"/>
    <w:rsid w:val="6E571B71"/>
    <w:rsid w:val="6E743E20"/>
    <w:rsid w:val="6EAC65BC"/>
    <w:rsid w:val="6EC3494D"/>
    <w:rsid w:val="6EEC2DC7"/>
    <w:rsid w:val="6F4F2F0B"/>
    <w:rsid w:val="71027343"/>
    <w:rsid w:val="71301829"/>
    <w:rsid w:val="71EF78EA"/>
    <w:rsid w:val="734A52EA"/>
    <w:rsid w:val="749671E4"/>
    <w:rsid w:val="74B119F7"/>
    <w:rsid w:val="75C10F41"/>
    <w:rsid w:val="762F4F48"/>
    <w:rsid w:val="778E6B04"/>
    <w:rsid w:val="782007B7"/>
    <w:rsid w:val="795A46D7"/>
    <w:rsid w:val="7A342338"/>
    <w:rsid w:val="7A37120E"/>
    <w:rsid w:val="7A9A57A7"/>
    <w:rsid w:val="7BAA7470"/>
    <w:rsid w:val="7BD070FE"/>
    <w:rsid w:val="7C0B455F"/>
    <w:rsid w:val="7EEB47D4"/>
    <w:rsid w:val="7F935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6">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1"/>
    <w:unhideWhenUsed/>
    <w:qFormat/>
    <w:uiPriority w:val="0"/>
    <w:pPr>
      <w:keepNext/>
      <w:keepLines/>
      <w:spacing w:before="260" w:after="260" w:line="416" w:lineRule="auto"/>
      <w:outlineLvl w:val="2"/>
    </w:pPr>
    <w:rPr>
      <w:b/>
      <w:bCs/>
      <w:sz w:val="32"/>
      <w:szCs w:val="32"/>
    </w:rPr>
  </w:style>
  <w:style w:type="paragraph" w:styleId="8">
    <w:name w:val="heading 4"/>
    <w:basedOn w:val="7"/>
    <w:next w:val="1"/>
    <w:unhideWhenUsed/>
    <w:qFormat/>
    <w:uiPriority w:val="0"/>
    <w:pPr>
      <w:adjustRightInd w:val="0"/>
      <w:spacing w:before="0" w:after="0" w:line="360" w:lineRule="atLeast"/>
      <w:outlineLvl w:val="3"/>
    </w:pPr>
    <w:rPr>
      <w:b w:val="0"/>
      <w:bCs w:val="0"/>
      <w:kern w:val="0"/>
      <w:sz w:val="24"/>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after="120"/>
      <w:ind w:left="420" w:leftChars="200"/>
    </w:pPr>
    <w:rPr>
      <w:szCs w:val="24"/>
    </w:rPr>
  </w:style>
  <w:style w:type="paragraph" w:styleId="4">
    <w:name w:val="envelope return"/>
    <w:basedOn w:val="1"/>
    <w:unhideWhenUsed/>
    <w:qFormat/>
    <w:uiPriority w:val="99"/>
    <w:pPr>
      <w:snapToGrid w:val="0"/>
    </w:pPr>
    <w:rPr>
      <w:rFonts w:ascii="Arial" w:hAnsi="Arial"/>
    </w:rPr>
  </w:style>
  <w:style w:type="paragraph" w:styleId="9">
    <w:name w:val="Normal Indent"/>
    <w:basedOn w:val="1"/>
    <w:qFormat/>
    <w:uiPriority w:val="0"/>
    <w:pPr>
      <w:adjustRightInd w:val="0"/>
      <w:ind w:firstLine="420"/>
      <w:jc w:val="left"/>
      <w:textAlignment w:val="baseline"/>
    </w:pPr>
    <w:rPr>
      <w:rFonts w:eastAsia="楷体_GB2312"/>
      <w:kern w:val="0"/>
      <w:sz w:val="24"/>
    </w:rPr>
  </w:style>
  <w:style w:type="paragraph" w:styleId="10">
    <w:name w:val="Document Map"/>
    <w:basedOn w:val="1"/>
    <w:link w:val="30"/>
    <w:qFormat/>
    <w:uiPriority w:val="0"/>
    <w:rPr>
      <w:rFonts w:ascii="宋体"/>
      <w:sz w:val="18"/>
      <w:szCs w:val="18"/>
    </w:rPr>
  </w:style>
  <w:style w:type="paragraph" w:styleId="11">
    <w:name w:val="annotation text"/>
    <w:basedOn w:val="1"/>
    <w:qFormat/>
    <w:uiPriority w:val="0"/>
    <w:rPr>
      <w:lang w:val="zh-CN"/>
    </w:rPr>
  </w:style>
  <w:style w:type="paragraph" w:styleId="12">
    <w:name w:val="Body Text"/>
    <w:basedOn w:val="1"/>
    <w:qFormat/>
    <w:uiPriority w:val="0"/>
    <w:pPr>
      <w:spacing w:after="120"/>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jc w:val="left"/>
    </w:pPr>
    <w:rPr>
      <w:kern w:val="0"/>
      <w:sz w:val="18"/>
      <w:szCs w:val="18"/>
    </w:rPr>
  </w:style>
  <w:style w:type="paragraph" w:styleId="17">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adjustRightInd w:val="0"/>
      <w:jc w:val="left"/>
      <w:textAlignment w:val="baseline"/>
    </w:pPr>
    <w:rPr>
      <w:rFonts w:eastAsia="楷体_GB2312"/>
      <w:sz w:val="24"/>
    </w:rPr>
  </w:style>
  <w:style w:type="paragraph" w:styleId="19">
    <w:name w:val="Normal (Web)"/>
    <w:basedOn w:val="1"/>
    <w:qFormat/>
    <w:uiPriority w:val="0"/>
    <w:pPr>
      <w:widowControl/>
      <w:spacing w:beforeAutospacing="1" w:afterAutospacing="1"/>
      <w:jc w:val="left"/>
    </w:pPr>
    <w:rPr>
      <w:rFonts w:ascii="宋体" w:hAnsi="宋体"/>
      <w:kern w:val="0"/>
      <w:sz w:val="24"/>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basedOn w:val="22"/>
    <w:qFormat/>
    <w:uiPriority w:val="0"/>
  </w:style>
  <w:style w:type="character" w:styleId="25">
    <w:name w:val="Emphasis"/>
    <w:qFormat/>
    <w:uiPriority w:val="0"/>
    <w:rPr>
      <w:i/>
    </w:rPr>
  </w:style>
  <w:style w:type="character" w:styleId="26">
    <w:name w:val="Hyperlink"/>
    <w:basedOn w:val="22"/>
    <w:qFormat/>
    <w:uiPriority w:val="0"/>
    <w:rPr>
      <w:color w:val="333333"/>
      <w:u w:val="none"/>
    </w:rPr>
  </w:style>
  <w:style w:type="paragraph" w:customStyle="1" w:styleId="27">
    <w:name w:val="No Spacing"/>
    <w:basedOn w:val="1"/>
    <w:qFormat/>
    <w:uiPriority w:val="99"/>
    <w:pPr>
      <w:ind w:firstLine="200" w:firstLineChars="200"/>
      <w:contextualSpacing/>
    </w:pPr>
    <w:rPr>
      <w:rFonts w:ascii="Calibri" w:hAnsi="Calibri" w:eastAsia="仿宋_GB2312" w:cs="宋体"/>
      <w:sz w:val="28"/>
      <w:szCs w:val="28"/>
    </w:rPr>
  </w:style>
  <w:style w:type="paragraph" w:customStyle="1" w:styleId="28">
    <w:name w:val="List Paragraph"/>
    <w:basedOn w:val="1"/>
    <w:qFormat/>
    <w:uiPriority w:val="99"/>
    <w:pPr>
      <w:ind w:firstLine="420" w:firstLineChars="200"/>
    </w:pPr>
    <w:rPr>
      <w:szCs w:val="24"/>
    </w:rPr>
  </w:style>
  <w:style w:type="paragraph" w:customStyle="1" w:styleId="29">
    <w:name w:val="Char Char Char Char"/>
    <w:basedOn w:val="1"/>
    <w:qFormat/>
    <w:uiPriority w:val="0"/>
    <w:rPr>
      <w:szCs w:val="20"/>
    </w:rPr>
  </w:style>
  <w:style w:type="character" w:customStyle="1" w:styleId="30">
    <w:name w:val="文档结构图 Char"/>
    <w:basedOn w:val="22"/>
    <w:link w:val="10"/>
    <w:qFormat/>
    <w:uiPriority w:val="0"/>
    <w:rPr>
      <w:rFonts w:ascii="宋体" w:hAnsi="Times New Roman" w:eastAsia="宋体" w:cs="Times New Roman"/>
      <w:kern w:val="2"/>
      <w:sz w:val="18"/>
      <w:szCs w:val="18"/>
    </w:rPr>
  </w:style>
  <w:style w:type="character" w:customStyle="1" w:styleId="31">
    <w:name w:val="页眉 Char"/>
    <w:basedOn w:val="22"/>
    <w:link w:val="17"/>
    <w:qFormat/>
    <w:uiPriority w:val="0"/>
    <w:rPr>
      <w:rFonts w:ascii="Times New Roman" w:hAnsi="Times New Roman" w:eastAsia="宋体" w:cs="Times New Roman"/>
      <w:kern w:val="2"/>
      <w:sz w:val="18"/>
      <w:szCs w:val="18"/>
    </w:rPr>
  </w:style>
  <w:style w:type="character" w:customStyle="1" w:styleId="32">
    <w:name w:val="font11"/>
    <w:qFormat/>
    <w:uiPriority w:val="0"/>
    <w:rPr>
      <w:rFonts w:hint="eastAsia" w:ascii="宋体" w:hAnsi="宋体" w:eastAsia="宋体" w:cs="宋体"/>
      <w:color w:val="000000"/>
      <w:sz w:val="20"/>
      <w:szCs w:val="20"/>
      <w:u w:val="none"/>
    </w:rPr>
  </w:style>
  <w:style w:type="character" w:customStyle="1" w:styleId="33">
    <w:name w:val="批注框文本 Char"/>
    <w:basedOn w:val="22"/>
    <w:link w:val="15"/>
    <w:qFormat/>
    <w:uiPriority w:val="0"/>
    <w:rPr>
      <w:kern w:val="2"/>
      <w:sz w:val="18"/>
      <w:szCs w:val="18"/>
    </w:rPr>
  </w:style>
  <w:style w:type="paragraph" w:customStyle="1" w:styleId="34">
    <w:name w:val="列表段落1"/>
    <w:basedOn w:val="1"/>
    <w:qFormat/>
    <w:uiPriority w:val="34"/>
    <w:pPr>
      <w:ind w:firstLine="420" w:firstLineChars="200"/>
    </w:pPr>
    <w:rPr>
      <w:rFonts w:cs="黑体"/>
    </w:rPr>
  </w:style>
  <w:style w:type="paragraph" w:customStyle="1" w:styleId="35">
    <w:name w:val="p17"/>
    <w:basedOn w:val="1"/>
    <w:qFormat/>
    <w:uiPriority w:val="0"/>
    <w:pPr>
      <w:widowControl/>
      <w:ind w:firstLine="420"/>
    </w:pPr>
    <w:rPr>
      <w:rFonts w:cs="宋体"/>
      <w:kern w:val="0"/>
      <w:szCs w:val="21"/>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F0510-6561-429B-8E56-643E5FF13B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4788</Words>
  <Characters>27297</Characters>
  <Lines>227</Lines>
  <Paragraphs>64</Paragraphs>
  <TotalTime>14</TotalTime>
  <ScaleCrop>false</ScaleCrop>
  <LinksUpToDate>false</LinksUpToDate>
  <CharactersWithSpaces>32021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2018-12-17T05:48:00Z</dcterms:created>
  <dc:creator>缘扬1411018323</dc:creator>
  <cp:lastModifiedBy>Administrator</cp:lastModifiedBy>
  <cp:lastPrinted>2018-04-17T09:29:00Z</cp:lastPrinted>
  <dcterms:modified xsi:type="dcterms:W3CDTF">2019-12-13T08:35:54Z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