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44"/>
          <w:szCs w:val="44"/>
          <w:lang w:eastAsia="zh-CN"/>
        </w:rPr>
      </w:pPr>
      <w:r>
        <w:rPr>
          <w:rFonts w:hint="eastAsia" w:asciiTheme="minorEastAsia" w:hAnsiTheme="minorEastAsia" w:eastAsiaTheme="minorEastAsia" w:cstheme="minorEastAsia"/>
          <w:spacing w:val="-17"/>
          <w:sz w:val="44"/>
          <w:szCs w:val="44"/>
          <w:lang w:eastAsia="zh-CN"/>
        </w:rPr>
        <w:t>江苏省南通市人民检察院智慧园区网络、信息系统运维及UPS、精密空调维保项目</w:t>
      </w:r>
    </w:p>
    <w:p>
      <w:pPr>
        <w:tabs>
          <w:tab w:val="left" w:pos="6300"/>
        </w:tabs>
        <w:snapToGrid w:val="0"/>
        <w:spacing w:line="300" w:lineRule="auto"/>
        <w:jc w:val="center"/>
        <w:rPr>
          <w:rFonts w:hint="eastAsia" w:asciiTheme="minorEastAsia" w:hAnsiTheme="minorEastAsia" w:eastAsiaTheme="minorEastAsia" w:cstheme="minorEastAsia"/>
          <w:w w:val="80"/>
          <w:sz w:val="84"/>
        </w:rPr>
      </w:pPr>
    </w:p>
    <w:p>
      <w:pPr>
        <w:spacing w:line="1400" w:lineRule="exact"/>
        <w:jc w:val="center"/>
        <w:rPr>
          <w:rFonts w:hint="eastAsia"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竞争性磋商文件</w:t>
      </w:r>
    </w:p>
    <w:p>
      <w:pPr>
        <w:spacing w:line="720" w:lineRule="auto"/>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（资格后审）</w:t>
      </w:r>
    </w:p>
    <w:p>
      <w:pPr>
        <w:pStyle w:val="19"/>
        <w:ind w:left="0" w:leftChars="0" w:firstLine="0" w:firstLineChars="0"/>
        <w:rPr>
          <w:rFonts w:hint="eastAsia" w:asciiTheme="minorEastAsia" w:hAnsiTheme="minorEastAsia" w:eastAsiaTheme="minorEastAsia" w:cstheme="minorEastAsia"/>
        </w:rPr>
      </w:pPr>
    </w:p>
    <w:p>
      <w:pPr>
        <w:snapToGrid w:val="0"/>
        <w:spacing w:line="360" w:lineRule="auto"/>
        <w:rPr>
          <w:rFonts w:hint="eastAsia" w:asciiTheme="minorEastAsia" w:hAnsiTheme="minorEastAsia" w:eastAsiaTheme="minorEastAsia" w:cstheme="minorEastAsia"/>
          <w:b/>
          <w:sz w:val="36"/>
        </w:rPr>
      </w:pPr>
    </w:p>
    <w:p>
      <w:pPr>
        <w:snapToGrid w:val="0"/>
        <w:spacing w:line="360" w:lineRule="auto"/>
        <w:jc w:val="center"/>
        <w:rPr>
          <w:rFonts w:hint="eastAsia" w:asciiTheme="minorEastAsia" w:hAnsiTheme="minorEastAsia" w:eastAsiaTheme="minorEastAsia" w:cstheme="minorEastAsia"/>
          <w:b/>
          <w:sz w:val="36"/>
        </w:rPr>
      </w:pPr>
    </w:p>
    <w:p>
      <w:pPr>
        <w:snapToGrid w:val="0"/>
        <w:spacing w:line="360" w:lineRule="auto"/>
        <w:jc w:val="center"/>
        <w:rPr>
          <w:rFonts w:hint="eastAsia" w:asciiTheme="minorEastAsia" w:hAnsiTheme="minorEastAsia" w:eastAsiaTheme="minorEastAsia" w:cstheme="minorEastAsia"/>
          <w:b/>
          <w:sz w:val="36"/>
        </w:rPr>
      </w:pPr>
    </w:p>
    <w:p>
      <w:pPr>
        <w:adjustRightInd w:val="0"/>
        <w:snapToGrid w:val="0"/>
        <w:spacing w:line="360" w:lineRule="auto"/>
        <w:ind w:firstLine="1506" w:firstLineChars="5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采购单位：江苏省南通市人民检察院</w:t>
      </w:r>
    </w:p>
    <w:p>
      <w:pPr>
        <w:adjustRightInd w:val="0"/>
        <w:snapToGrid w:val="0"/>
        <w:spacing w:line="360" w:lineRule="auto"/>
        <w:ind w:firstLine="1506" w:firstLineChars="5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代理机构：南通正扬工程项目管理有限公司</w:t>
      </w:r>
    </w:p>
    <w:p>
      <w:pPr>
        <w:adjustRightInd w:val="0"/>
        <w:snapToGrid w:val="0"/>
        <w:spacing w:line="360" w:lineRule="auto"/>
        <w:jc w:val="center"/>
        <w:rPr>
          <w:rFonts w:hint="eastAsia" w:asciiTheme="minorEastAsia" w:hAnsiTheme="minorEastAsia" w:eastAsiaTheme="minorEastAsia" w:cstheme="minorEastAsia"/>
          <w:b/>
          <w:sz w:val="30"/>
          <w:szCs w:val="30"/>
        </w:rPr>
      </w:pPr>
    </w:p>
    <w:p>
      <w:pPr>
        <w:adjustRightInd w:val="0"/>
        <w:snapToGrid w:val="0"/>
        <w:spacing w:line="36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二〇一九年十</w:t>
      </w:r>
      <w:r>
        <w:rPr>
          <w:rFonts w:hint="eastAsia" w:asciiTheme="minorEastAsia" w:hAnsiTheme="minorEastAsia" w:eastAsiaTheme="minorEastAsia" w:cstheme="minorEastAsia"/>
          <w:b/>
          <w:sz w:val="30"/>
          <w:szCs w:val="30"/>
          <w:lang w:eastAsia="zh-CN"/>
        </w:rPr>
        <w:t>二</w:t>
      </w:r>
      <w:r>
        <w:rPr>
          <w:rFonts w:hint="eastAsia" w:asciiTheme="minorEastAsia" w:hAnsiTheme="minorEastAsia" w:eastAsiaTheme="minorEastAsia" w:cstheme="minorEastAsia"/>
          <w:b/>
          <w:sz w:val="30"/>
          <w:szCs w:val="30"/>
        </w:rPr>
        <w:t>月</w:t>
      </w:r>
      <w:r>
        <w:rPr>
          <w:rFonts w:hint="eastAsia" w:asciiTheme="minorEastAsia" w:hAnsiTheme="minorEastAsia" w:eastAsiaTheme="minorEastAsia" w:cstheme="minorEastAsia"/>
          <w:b/>
          <w:sz w:val="30"/>
          <w:szCs w:val="30"/>
          <w:lang w:val="en-US" w:eastAsia="zh-CN"/>
        </w:rPr>
        <w:t>十三</w:t>
      </w:r>
      <w:r>
        <w:rPr>
          <w:rFonts w:hint="eastAsia" w:asciiTheme="minorEastAsia" w:hAnsiTheme="minorEastAsia" w:eastAsiaTheme="minorEastAsia" w:cstheme="minorEastAsia"/>
          <w:b/>
          <w:sz w:val="30"/>
          <w:szCs w:val="30"/>
        </w:rPr>
        <w:t>日</w:t>
      </w:r>
    </w:p>
    <w:p>
      <w:pP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br w:type="page"/>
      </w: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竞争性磋商文件备案表</w:t>
      </w:r>
    </w:p>
    <w:p>
      <w:pPr>
        <w:jc w:val="center"/>
        <w:rPr>
          <w:rFonts w:hint="eastAsia" w:asciiTheme="minorEastAsia" w:hAnsiTheme="minorEastAsia" w:eastAsiaTheme="minorEastAsia" w:cstheme="minorEastAsia"/>
          <w:b/>
          <w:sz w:val="44"/>
          <w:szCs w:val="44"/>
        </w:rPr>
      </w:pP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jc w:val="center"/>
        </w:trPr>
        <w:tc>
          <w:tcPr>
            <w:tcW w:w="9180" w:type="dxa"/>
          </w:tcPr>
          <w:p>
            <w:pPr>
              <w:spacing w:line="360" w:lineRule="auto"/>
              <w:jc w:val="center"/>
              <w:rPr>
                <w:rFonts w:hint="eastAsia" w:asciiTheme="minorEastAsia" w:hAnsiTheme="minorEastAsia" w:eastAsiaTheme="minorEastAsia" w:cstheme="minorEastAsia"/>
                <w:position w:val="-48"/>
                <w:sz w:val="25"/>
              </w:rPr>
            </w:pPr>
          </w:p>
          <w:p>
            <w:pPr>
              <w:spacing w:line="360" w:lineRule="auto"/>
              <w:jc w:val="center"/>
              <w:rPr>
                <w:rFonts w:hint="eastAsia" w:asciiTheme="minorEastAsia" w:hAnsiTheme="minorEastAsia" w:eastAsiaTheme="minorEastAsia" w:cstheme="minorEastAsia"/>
                <w:position w:val="-48"/>
                <w:sz w:val="25"/>
              </w:rPr>
            </w:pPr>
          </w:p>
          <w:p>
            <w:pPr>
              <w:spacing w:line="360" w:lineRule="auto"/>
              <w:ind w:firstLine="3000" w:firstLineChars="1200"/>
              <w:rPr>
                <w:rFonts w:hint="eastAsia" w:asciiTheme="minorEastAsia" w:hAnsiTheme="minorEastAsia" w:eastAsiaTheme="minorEastAsia" w:cstheme="minorEastAsia"/>
                <w:position w:val="-48"/>
                <w:sz w:val="25"/>
                <w:lang w:val="en-US" w:eastAsia="zh-CN"/>
              </w:rPr>
            </w:pPr>
            <w:r>
              <w:rPr>
                <w:rFonts w:hint="eastAsia" w:asciiTheme="minorEastAsia" w:hAnsiTheme="minorEastAsia" w:eastAsiaTheme="minorEastAsia" w:cstheme="minorEastAsia"/>
                <w:position w:val="-48"/>
                <w:sz w:val="25"/>
              </w:rPr>
              <w:t>编制人：</w:t>
            </w:r>
            <w:r>
              <w:rPr>
                <w:rFonts w:hint="eastAsia" w:asciiTheme="minorEastAsia" w:hAnsiTheme="minorEastAsia" w:eastAsiaTheme="minorEastAsia" w:cstheme="minorEastAsia"/>
                <w:position w:val="-48"/>
                <w:sz w:val="25"/>
                <w:lang w:val="en-US" w:eastAsia="zh-CN"/>
              </w:rPr>
              <w:t>李艳梅</w:t>
            </w:r>
          </w:p>
          <w:p>
            <w:pPr>
              <w:tabs>
                <w:tab w:val="left" w:pos="3492"/>
              </w:tabs>
              <w:spacing w:line="360" w:lineRule="auto"/>
              <w:ind w:firstLine="3000" w:firstLineChars="1200"/>
              <w:rPr>
                <w:rFonts w:hint="eastAsia" w:asciiTheme="minorEastAsia" w:hAnsiTheme="minorEastAsia" w:eastAsiaTheme="minorEastAsia" w:cstheme="minorEastAsia"/>
                <w:position w:val="-48"/>
                <w:sz w:val="25"/>
              </w:rPr>
            </w:pPr>
            <w:r>
              <w:rPr>
                <w:rFonts w:hint="eastAsia" w:asciiTheme="minorEastAsia" w:hAnsiTheme="minorEastAsia" w:eastAsiaTheme="minorEastAsia" w:cstheme="minorEastAsia"/>
                <w:position w:val="-48"/>
                <w:sz w:val="25"/>
              </w:rPr>
              <w:t>日  期：2019年</w:t>
            </w:r>
            <w:r>
              <w:rPr>
                <w:rFonts w:hint="eastAsia" w:asciiTheme="minorEastAsia" w:hAnsiTheme="minorEastAsia" w:eastAsiaTheme="minorEastAsia" w:cstheme="minorEastAsia"/>
                <w:position w:val="-48"/>
                <w:sz w:val="25"/>
                <w:lang w:val="en-US" w:eastAsia="zh-CN"/>
              </w:rPr>
              <w:t>12</w:t>
            </w:r>
            <w:r>
              <w:rPr>
                <w:rFonts w:hint="eastAsia" w:asciiTheme="minorEastAsia" w:hAnsiTheme="minorEastAsia" w:eastAsiaTheme="minorEastAsia" w:cstheme="minorEastAsia"/>
                <w:position w:val="-48"/>
                <w:sz w:val="25"/>
              </w:rPr>
              <w:t>月</w:t>
            </w:r>
            <w:r>
              <w:rPr>
                <w:rFonts w:hint="eastAsia" w:asciiTheme="minorEastAsia" w:hAnsiTheme="minorEastAsia" w:eastAsiaTheme="minorEastAsia" w:cstheme="minorEastAsia"/>
                <w:position w:val="-48"/>
                <w:sz w:val="25"/>
                <w:lang w:val="en-US" w:eastAsia="zh-CN"/>
              </w:rPr>
              <w:t>13</w:t>
            </w:r>
            <w:r>
              <w:rPr>
                <w:rFonts w:hint="eastAsia" w:asciiTheme="minorEastAsia" w:hAnsiTheme="minorEastAsia" w:eastAsiaTheme="minorEastAsia" w:cstheme="minorEastAsia"/>
                <w:position w:val="-48"/>
                <w:sz w:val="2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5" w:hRule="atLeast"/>
          <w:jc w:val="center"/>
        </w:trPr>
        <w:tc>
          <w:tcPr>
            <w:tcW w:w="9180" w:type="dxa"/>
          </w:tcPr>
          <w:p>
            <w:pPr>
              <w:spacing w:line="360" w:lineRule="auto"/>
              <w:rPr>
                <w:rFonts w:hint="eastAsia" w:asciiTheme="minorEastAsia" w:hAnsiTheme="minorEastAsia" w:eastAsiaTheme="minorEastAsia" w:cstheme="minorEastAsia"/>
                <w:position w:val="-48"/>
                <w:sz w:val="25"/>
              </w:rPr>
            </w:pPr>
          </w:p>
          <w:p>
            <w:pPr>
              <w:spacing w:line="360" w:lineRule="auto"/>
              <w:ind w:firstLine="625" w:firstLineChars="250"/>
              <w:jc w:val="center"/>
              <w:rPr>
                <w:rFonts w:hint="eastAsia" w:asciiTheme="minorEastAsia" w:hAnsiTheme="minorEastAsia" w:eastAsiaTheme="minorEastAsia" w:cstheme="minorEastAsia"/>
                <w:position w:val="-48"/>
                <w:sz w:val="25"/>
              </w:rPr>
            </w:pPr>
          </w:p>
          <w:p>
            <w:pPr>
              <w:spacing w:line="360" w:lineRule="auto"/>
              <w:ind w:firstLine="625" w:firstLineChars="250"/>
              <w:jc w:val="center"/>
              <w:rPr>
                <w:rFonts w:hint="eastAsia" w:asciiTheme="minorEastAsia" w:hAnsiTheme="minorEastAsia" w:eastAsiaTheme="minorEastAsia" w:cstheme="minorEastAsia"/>
                <w:position w:val="-48"/>
                <w:sz w:val="25"/>
              </w:rPr>
            </w:pPr>
          </w:p>
          <w:p>
            <w:pPr>
              <w:spacing w:line="360" w:lineRule="auto"/>
              <w:ind w:firstLine="625" w:firstLineChars="250"/>
              <w:jc w:val="center"/>
              <w:rPr>
                <w:rFonts w:hint="eastAsia" w:asciiTheme="minorEastAsia" w:hAnsiTheme="minorEastAsia" w:eastAsiaTheme="minorEastAsia" w:cstheme="minorEastAsia"/>
                <w:position w:val="-48"/>
                <w:sz w:val="25"/>
              </w:rPr>
            </w:pPr>
            <w:r>
              <w:rPr>
                <w:rFonts w:hint="eastAsia" w:asciiTheme="minorEastAsia" w:hAnsiTheme="minorEastAsia" w:eastAsiaTheme="minorEastAsia" w:cstheme="minorEastAsia"/>
                <w:position w:val="-48"/>
                <w:sz w:val="25"/>
              </w:rPr>
              <w:t>采购单位（盖章）             法定代表人（签字或盖章）</w:t>
            </w:r>
          </w:p>
          <w:p>
            <w:pPr>
              <w:spacing w:line="360" w:lineRule="auto"/>
              <w:rPr>
                <w:rFonts w:hint="eastAsia" w:asciiTheme="minorEastAsia" w:hAnsiTheme="minorEastAsia" w:eastAsiaTheme="minorEastAsia" w:cstheme="minorEastAsia"/>
                <w:position w:val="-48"/>
                <w:sz w:val="25"/>
              </w:rPr>
            </w:pPr>
          </w:p>
          <w:p>
            <w:pPr>
              <w:spacing w:line="360" w:lineRule="auto"/>
              <w:jc w:val="center"/>
              <w:rPr>
                <w:rFonts w:hint="eastAsia" w:asciiTheme="minorEastAsia" w:hAnsiTheme="minorEastAsia" w:eastAsiaTheme="minorEastAsia" w:cstheme="minorEastAsia"/>
                <w:position w:val="-48"/>
                <w:sz w:val="25"/>
              </w:rPr>
            </w:pPr>
            <w:r>
              <w:rPr>
                <w:rFonts w:hint="eastAsia" w:asciiTheme="minorEastAsia" w:hAnsiTheme="minorEastAsia" w:eastAsiaTheme="minorEastAsia" w:cstheme="minorEastAsia"/>
                <w:position w:val="-48"/>
                <w:sz w:val="25"/>
              </w:rPr>
              <w:t xml:space="preserve">   代理机构（盖章）            法定代表人（签字或盖章）</w:t>
            </w:r>
          </w:p>
          <w:p>
            <w:pPr>
              <w:spacing w:line="360" w:lineRule="auto"/>
              <w:rPr>
                <w:rFonts w:hint="eastAsia" w:asciiTheme="minorEastAsia" w:hAnsiTheme="minorEastAsia" w:eastAsiaTheme="minorEastAsia" w:cstheme="minorEastAsia"/>
                <w:position w:val="-48"/>
                <w:sz w:val="25"/>
              </w:rPr>
            </w:pPr>
          </w:p>
          <w:p>
            <w:pPr>
              <w:spacing w:line="360" w:lineRule="auto"/>
              <w:jc w:val="center"/>
              <w:rPr>
                <w:rFonts w:hint="eastAsia" w:asciiTheme="minorEastAsia" w:hAnsiTheme="minorEastAsia" w:eastAsiaTheme="minorEastAsia" w:cstheme="minorEastAsia"/>
                <w:position w:val="-48"/>
                <w:sz w:val="25"/>
              </w:rPr>
            </w:pPr>
            <w:r>
              <w:rPr>
                <w:rFonts w:hint="eastAsia" w:asciiTheme="minorEastAsia" w:hAnsiTheme="minorEastAsia" w:eastAsiaTheme="minorEastAsia" w:cstheme="minorEastAsia"/>
                <w:position w:val="-48"/>
                <w:sz w:val="25"/>
              </w:rPr>
              <w:t>日  期：2019年</w:t>
            </w:r>
            <w:r>
              <w:rPr>
                <w:rFonts w:hint="eastAsia" w:asciiTheme="minorEastAsia" w:hAnsiTheme="minorEastAsia" w:eastAsiaTheme="minorEastAsia" w:cstheme="minorEastAsia"/>
                <w:position w:val="-48"/>
                <w:sz w:val="25"/>
                <w:lang w:val="en-US" w:eastAsia="zh-CN"/>
              </w:rPr>
              <w:t>12</w:t>
            </w:r>
            <w:r>
              <w:rPr>
                <w:rFonts w:hint="eastAsia" w:asciiTheme="minorEastAsia" w:hAnsiTheme="minorEastAsia" w:eastAsiaTheme="minorEastAsia" w:cstheme="minorEastAsia"/>
                <w:position w:val="-48"/>
                <w:sz w:val="25"/>
              </w:rPr>
              <w:t>月</w:t>
            </w:r>
            <w:r>
              <w:rPr>
                <w:rFonts w:hint="eastAsia" w:asciiTheme="minorEastAsia" w:hAnsiTheme="minorEastAsia" w:eastAsiaTheme="minorEastAsia" w:cstheme="minorEastAsia"/>
                <w:position w:val="-48"/>
                <w:sz w:val="25"/>
                <w:lang w:val="en-US" w:eastAsia="zh-CN"/>
              </w:rPr>
              <w:t>13</w:t>
            </w:r>
            <w:r>
              <w:rPr>
                <w:rFonts w:hint="eastAsia" w:asciiTheme="minorEastAsia" w:hAnsiTheme="minorEastAsia" w:eastAsiaTheme="minorEastAsia" w:cstheme="minorEastAsia"/>
                <w:position w:val="-48"/>
                <w:sz w:val="25"/>
              </w:rPr>
              <w:t>日</w:t>
            </w:r>
          </w:p>
        </w:tc>
      </w:tr>
    </w:tbl>
    <w:p>
      <w:pPr>
        <w:pStyle w:val="19"/>
        <w:rPr>
          <w:rFonts w:hint="eastAsia" w:asciiTheme="minorEastAsia" w:hAnsiTheme="minorEastAsia" w:eastAsiaTheme="minorEastAsia" w:cstheme="minorEastAsia"/>
        </w:rPr>
        <w:sectPr>
          <w:footerReference r:id="rId3" w:type="first"/>
          <w:pgSz w:w="11906" w:h="16838"/>
          <w:pgMar w:top="1418" w:right="1418" w:bottom="646" w:left="1418" w:header="851" w:footer="992" w:gutter="0"/>
          <w:cols w:space="720" w:num="1"/>
          <w:docGrid w:linePitch="312" w:charSpace="0"/>
        </w:sectPr>
      </w:pPr>
    </w:p>
    <w:p>
      <w:pPr>
        <w:pStyle w:val="7"/>
        <w:overflowPunct w:val="0"/>
        <w:ind w:firstLine="0"/>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目  录</w:t>
      </w:r>
    </w:p>
    <w:p>
      <w:pPr>
        <w:pStyle w:val="7"/>
        <w:overflowPunct w:val="0"/>
        <w:ind w:firstLine="0"/>
        <w:jc w:val="center"/>
        <w:rPr>
          <w:rFonts w:hint="eastAsia" w:asciiTheme="minorEastAsia" w:hAnsiTheme="minorEastAsia" w:eastAsiaTheme="minorEastAsia" w:cstheme="minorEastAsia"/>
          <w:sz w:val="30"/>
        </w:rPr>
      </w:pPr>
    </w:p>
    <w:p>
      <w:pPr>
        <w:pStyle w:val="17"/>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6"/>
          <w:szCs w:val="36"/>
        </w:rPr>
        <w:fldChar w:fldCharType="begin"/>
      </w:r>
      <w:r>
        <w:rPr>
          <w:rFonts w:hint="eastAsia" w:asciiTheme="minorEastAsia" w:hAnsiTheme="minorEastAsia" w:eastAsiaTheme="minorEastAsia" w:cstheme="minorEastAsia"/>
          <w:b/>
          <w:bCs/>
          <w:sz w:val="36"/>
          <w:szCs w:val="36"/>
        </w:rPr>
        <w:instrText xml:space="preserve"> TOC \o "1-1"</w:instrText>
      </w:r>
      <w:r>
        <w:rPr>
          <w:rFonts w:hint="eastAsia" w:asciiTheme="minorEastAsia" w:hAnsiTheme="minorEastAsia" w:eastAsiaTheme="minorEastAsia" w:cstheme="minorEastAsia"/>
          <w:b/>
          <w:bCs/>
          <w:sz w:val="36"/>
          <w:szCs w:val="36"/>
        </w:rPr>
        <w:fldChar w:fldCharType="separate"/>
      </w:r>
      <w:r>
        <w:rPr>
          <w:rFonts w:hint="eastAsia" w:asciiTheme="minorEastAsia" w:hAnsiTheme="minorEastAsia" w:eastAsiaTheme="minorEastAsia" w:cstheme="minorEastAsia"/>
          <w:sz w:val="32"/>
          <w:szCs w:val="32"/>
        </w:rPr>
        <w:t>第一章 竞争性磋商公告</w:t>
      </w:r>
    </w:p>
    <w:p>
      <w:pPr>
        <w:pStyle w:val="17"/>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第二章 投标供应商须知</w:t>
      </w:r>
    </w:p>
    <w:p>
      <w:pPr>
        <w:pStyle w:val="17"/>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第三章 项目需求</w:t>
      </w:r>
    </w:p>
    <w:p>
      <w:pPr>
        <w:pStyle w:val="17"/>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第四章 评审方法和程序</w:t>
      </w:r>
    </w:p>
    <w:p>
      <w:pPr>
        <w:pStyle w:val="17"/>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第五章 合同主要条款</w:t>
      </w:r>
    </w:p>
    <w:p>
      <w:pPr>
        <w:pStyle w:val="17"/>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第六章合同授予</w:t>
      </w:r>
    </w:p>
    <w:p>
      <w:pPr>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第七章 质疑提出和处理</w:t>
      </w:r>
    </w:p>
    <w:p>
      <w:pPr>
        <w:spacing w:line="1200" w:lineRule="exact"/>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2"/>
          <w:szCs w:val="32"/>
        </w:rPr>
        <w:t>第八章 响应文件组成及格式</w:t>
      </w:r>
    </w:p>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fldChar w:fldCharType="end"/>
      </w: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sz w:val="36"/>
          <w:szCs w:val="36"/>
        </w:rPr>
      </w:pPr>
    </w:p>
    <w:p>
      <w:pPr>
        <w:snapToGrid w:val="0"/>
        <w:spacing w:line="360" w:lineRule="auto"/>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w w:val="80"/>
          <w:szCs w:val="44"/>
        </w:rPr>
        <w:br w:type="page"/>
      </w:r>
      <w:r>
        <w:rPr>
          <w:rFonts w:hint="eastAsia" w:asciiTheme="minorEastAsia" w:hAnsiTheme="minorEastAsia" w:eastAsiaTheme="minorEastAsia" w:cstheme="minorEastAsia"/>
          <w:b/>
          <w:szCs w:val="21"/>
        </w:rPr>
        <w:t>尊敬的投标供应商：</w:t>
      </w:r>
    </w:p>
    <w:p>
      <w:pPr>
        <w:pStyle w:val="3"/>
        <w:keepNext w:val="0"/>
        <w:keepLines w:val="0"/>
        <w:adjustRightInd w:val="0"/>
        <w:snapToGrid w:val="0"/>
        <w:spacing w:before="0" w:after="0" w:line="360" w:lineRule="auto"/>
        <w:ind w:firstLine="422" w:firstLineChars="200"/>
        <w:jc w:val="left"/>
        <w:textAlignment w:val="baseline"/>
        <w:rPr>
          <w:rFonts w:hint="eastAsia" w:asciiTheme="minorEastAsia" w:hAnsiTheme="minorEastAsia" w:eastAsiaTheme="minorEastAsia" w:cstheme="minorEastAsia"/>
          <w:w w:val="80"/>
          <w:szCs w:val="44"/>
        </w:rPr>
      </w:pPr>
      <w:r>
        <w:rPr>
          <w:rFonts w:hint="eastAsia" w:asciiTheme="minorEastAsia" w:hAnsiTheme="minorEastAsia" w:eastAsiaTheme="minorEastAsia" w:cstheme="minorEastAsia"/>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3"/>
        <w:keepNext w:val="0"/>
        <w:keepLines w:val="0"/>
        <w:adjustRightInd w:val="0"/>
        <w:snapToGrid w:val="0"/>
        <w:spacing w:before="0" w:after="0" w:line="800" w:lineRule="exact"/>
        <w:jc w:val="center"/>
        <w:textAlignment w:val="baseline"/>
        <w:rPr>
          <w:rFonts w:hint="eastAsia" w:asciiTheme="minorEastAsia" w:hAnsiTheme="minorEastAsia" w:eastAsiaTheme="minorEastAsia" w:cstheme="minorEastAsia"/>
          <w:w w:val="80"/>
          <w:szCs w:val="44"/>
        </w:rPr>
      </w:pPr>
      <w:r>
        <w:rPr>
          <w:rFonts w:hint="eastAsia" w:asciiTheme="minorEastAsia" w:hAnsiTheme="minorEastAsia" w:eastAsiaTheme="minorEastAsia" w:cstheme="minorEastAsia"/>
          <w:w w:val="80"/>
          <w:szCs w:val="44"/>
        </w:rPr>
        <w:t>第一章  竞争性磋商公告</w:t>
      </w:r>
    </w:p>
    <w:p>
      <w:pPr>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南通正扬工程项目管理有限公司（以下简称代理机构）受江苏省南通市人民检察院（以下简称采购单位）的委托，对</w:t>
      </w:r>
      <w:r>
        <w:rPr>
          <w:rFonts w:hint="eastAsia" w:asciiTheme="minorEastAsia" w:hAnsiTheme="minorEastAsia" w:eastAsiaTheme="minorEastAsia" w:cstheme="minorEastAsia"/>
          <w:sz w:val="24"/>
          <w:szCs w:val="24"/>
          <w:lang w:eastAsia="zh-CN"/>
        </w:rPr>
        <w:t>江苏省南通市人民检察院智慧园区网络、信息系统运维及UPS、精密空调维保项目</w:t>
      </w:r>
      <w:r>
        <w:rPr>
          <w:rFonts w:hint="eastAsia" w:asciiTheme="minorEastAsia" w:hAnsiTheme="minorEastAsia" w:eastAsiaTheme="minorEastAsia" w:cstheme="minorEastAsia"/>
          <w:sz w:val="24"/>
          <w:szCs w:val="24"/>
        </w:rPr>
        <w:t>组织竞争性磋商采购，诚邀符合条件的潜在供应商参加该项目的竞争性磋商。</w:t>
      </w:r>
    </w:p>
    <w:p>
      <w:pPr>
        <w:numPr>
          <w:ilvl w:val="0"/>
          <w:numId w:val="1"/>
        </w:num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lang w:eastAsia="zh-CN"/>
        </w:rPr>
        <w:t>江苏省南通市人民检察院智慧园区网络、信息系统运维及UPS、精密空调维保项目</w:t>
      </w:r>
    </w:p>
    <w:p>
      <w:pPr>
        <w:numPr>
          <w:ilvl w:val="0"/>
          <w:numId w:val="1"/>
        </w:numPr>
        <w:spacing w:line="360" w:lineRule="auto"/>
        <w:ind w:firstLine="480" w:firstLineChars="200"/>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rPr>
        <w:t>项目预算：</w:t>
      </w:r>
      <w:r>
        <w:rPr>
          <w:rFonts w:hint="eastAsia" w:asciiTheme="minorEastAsia" w:hAnsiTheme="minorEastAsia" w:eastAsiaTheme="minorEastAsia" w:cstheme="minorEastAsia"/>
          <w:sz w:val="24"/>
          <w:szCs w:val="24"/>
          <w:highlight w:val="none"/>
          <w:lang w:val="en-US" w:eastAsia="zh-CN"/>
        </w:rPr>
        <w:t>19.5</w:t>
      </w:r>
      <w:r>
        <w:rPr>
          <w:rFonts w:hint="eastAsia" w:asciiTheme="minorEastAsia" w:hAnsiTheme="minorEastAsia" w:eastAsiaTheme="minorEastAsia" w:cstheme="minorEastAsia"/>
          <w:sz w:val="24"/>
          <w:szCs w:val="24"/>
          <w:highlight w:val="none"/>
        </w:rPr>
        <w:t>万元</w:t>
      </w:r>
      <w:r>
        <w:rPr>
          <w:rFonts w:hint="eastAsia" w:asciiTheme="minorEastAsia" w:hAnsiTheme="minorEastAsia" w:eastAsiaTheme="minorEastAsia" w:cstheme="minorEastAsia"/>
          <w:sz w:val="24"/>
          <w:szCs w:val="24"/>
          <w:highlight w:val="none"/>
          <w:lang w:val="en-US" w:eastAsia="zh-CN"/>
        </w:rPr>
        <w:t>/年</w:t>
      </w:r>
    </w:p>
    <w:p>
      <w:pPr>
        <w:numPr>
          <w:ilvl w:val="0"/>
          <w:numId w:val="1"/>
        </w:num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项目需求：详见第三章</w:t>
      </w:r>
    </w:p>
    <w:p>
      <w:pPr>
        <w:numPr>
          <w:ilvl w:val="0"/>
          <w:numId w:val="1"/>
        </w:num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供应商资格要求 </w:t>
      </w:r>
    </w:p>
    <w:p>
      <w:pPr>
        <w:widowControl/>
        <w:snapToGrid w:val="0"/>
        <w:spacing w:line="360" w:lineRule="auto"/>
        <w:ind w:firstLine="470" w:firstLineChars="196"/>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widowControl/>
        <w:snapToGrid w:val="0"/>
        <w:spacing w:line="360" w:lineRule="auto"/>
        <w:ind w:firstLine="470" w:firstLineChars="196"/>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2、法定代表人为同一个人的两个及两个以上法人，母公司、全资子公司及其控股公司，都不得在同一采购项目相同标段中同时参加投标，一经发现，将视同围标处理。</w:t>
      </w:r>
    </w:p>
    <w:p>
      <w:pPr>
        <w:widowControl/>
        <w:snapToGrid w:val="0"/>
        <w:spacing w:line="360" w:lineRule="auto"/>
        <w:ind w:firstLine="472" w:firstLineChars="196"/>
        <w:jc w:val="lef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供应商其它资格要求：</w:t>
      </w:r>
    </w:p>
    <w:p>
      <w:pPr>
        <w:widowControl/>
        <w:numPr>
          <w:ilvl w:val="0"/>
          <w:numId w:val="2"/>
        </w:numPr>
        <w:snapToGrid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投标供应商必须具有独立的法人资格，提供有效的营业执照及税务登记证（或者是三证合一的营业执照），营业执照具有相关经营范围，有能力提供本次采购项目所要求的服务。</w:t>
      </w:r>
    </w:p>
    <w:p>
      <w:pPr>
        <w:widowControl/>
        <w:numPr>
          <w:ilvl w:val="0"/>
          <w:numId w:val="2"/>
        </w:numPr>
        <w:snapToGrid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投标供应商必须具备有效的涉密信息系统集成</w:t>
      </w:r>
      <w:r>
        <w:rPr>
          <w:rFonts w:hint="eastAsia" w:asciiTheme="minorEastAsia" w:hAnsiTheme="minorEastAsia" w:eastAsiaTheme="minorEastAsia" w:cstheme="minorEastAsia"/>
          <w:sz w:val="24"/>
          <w:szCs w:val="24"/>
          <w:lang w:eastAsia="zh-CN"/>
        </w:rPr>
        <w:t>乙级及以上资质。</w:t>
      </w:r>
    </w:p>
    <w:p>
      <w:pPr>
        <w:widowControl/>
        <w:numPr>
          <w:ilvl w:val="0"/>
          <w:numId w:val="2"/>
        </w:numPr>
        <w:snapToGrid w:val="0"/>
        <w:spacing w:line="360" w:lineRule="auto"/>
        <w:ind w:firstLine="480" w:firstLineChars="200"/>
        <w:jc w:val="left"/>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sz w:val="24"/>
          <w:szCs w:val="24"/>
        </w:rPr>
        <w:t>投标供应商法定</w:t>
      </w:r>
      <w:r>
        <w:rPr>
          <w:rFonts w:hint="eastAsia" w:asciiTheme="minorEastAsia" w:hAnsiTheme="minorEastAsia" w:eastAsiaTheme="minorEastAsia" w:cstheme="minorEastAsia"/>
          <w:color w:val="000000"/>
          <w:sz w:val="24"/>
          <w:szCs w:val="22"/>
        </w:rPr>
        <w:t>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①与投标供应商签订的有效劳动合同复印件；②社保机构出具并盖章的投标供应商为其缴纳201</w:t>
      </w:r>
      <w:r>
        <w:rPr>
          <w:rFonts w:hint="eastAsia" w:asciiTheme="minorEastAsia" w:hAnsiTheme="minorEastAsia" w:eastAsiaTheme="minorEastAsia" w:cstheme="minorEastAsia"/>
          <w:color w:val="000000"/>
          <w:sz w:val="24"/>
          <w:szCs w:val="22"/>
          <w:lang w:val="en-US" w:eastAsia="zh-CN"/>
        </w:rPr>
        <w:t>9</w:t>
      </w:r>
      <w:r>
        <w:rPr>
          <w:rFonts w:hint="eastAsia" w:asciiTheme="minorEastAsia" w:hAnsiTheme="minorEastAsia" w:eastAsiaTheme="minorEastAsia" w:cstheme="minorEastAsia"/>
          <w:color w:val="000000"/>
          <w:sz w:val="24"/>
          <w:szCs w:val="22"/>
        </w:rPr>
        <w:t>年</w:t>
      </w:r>
      <w:r>
        <w:rPr>
          <w:rFonts w:hint="eastAsia" w:asciiTheme="minorEastAsia" w:hAnsiTheme="minorEastAsia" w:eastAsiaTheme="minorEastAsia" w:cstheme="minorEastAsia"/>
          <w:color w:val="000000"/>
          <w:sz w:val="24"/>
          <w:szCs w:val="22"/>
          <w:lang w:val="en-US" w:eastAsia="zh-CN"/>
        </w:rPr>
        <w:t>5</w:t>
      </w:r>
      <w:r>
        <w:rPr>
          <w:rFonts w:hint="eastAsia" w:asciiTheme="minorEastAsia" w:hAnsiTheme="minorEastAsia" w:eastAsiaTheme="minorEastAsia" w:cstheme="minorEastAsia"/>
          <w:color w:val="000000"/>
          <w:sz w:val="24"/>
          <w:szCs w:val="22"/>
        </w:rPr>
        <w:t>月-2019年</w:t>
      </w:r>
      <w:r>
        <w:rPr>
          <w:rFonts w:hint="eastAsia" w:asciiTheme="minorEastAsia" w:hAnsiTheme="minorEastAsia" w:eastAsiaTheme="minorEastAsia" w:cstheme="minorEastAsia"/>
          <w:color w:val="000000"/>
          <w:sz w:val="24"/>
          <w:szCs w:val="22"/>
          <w:lang w:val="en-US" w:eastAsia="zh-CN"/>
        </w:rPr>
        <w:t>10</w:t>
      </w:r>
      <w:r>
        <w:rPr>
          <w:rFonts w:hint="eastAsia" w:asciiTheme="minorEastAsia" w:hAnsiTheme="minorEastAsia" w:eastAsiaTheme="minorEastAsia" w:cstheme="minorEastAsia"/>
          <w:color w:val="000000"/>
          <w:sz w:val="24"/>
          <w:szCs w:val="22"/>
        </w:rPr>
        <w:t>月连续六个月的养老保险缴费清单复印件】。</w:t>
      </w:r>
    </w:p>
    <w:p>
      <w:pPr>
        <w:spacing w:line="360" w:lineRule="auto"/>
        <w:ind w:firstLine="480" w:firstLineChars="200"/>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lang w:val="en-US" w:eastAsia="zh-CN"/>
        </w:rPr>
        <w:t>6</w:t>
      </w:r>
      <w:r>
        <w:rPr>
          <w:rFonts w:hint="eastAsia" w:asciiTheme="minorEastAsia" w:hAnsiTheme="minorEastAsia" w:eastAsiaTheme="minorEastAsia" w:cstheme="minorEastAsia"/>
          <w:color w:val="000000"/>
          <w:sz w:val="24"/>
          <w:szCs w:val="22"/>
        </w:rPr>
        <w:t>、投标供应商须提供参与本次项目政府采购活动前三年内，在经营活动中没有重大违法记录的书面《无重大违法记录声明函》（格式参见第八章）。</w:t>
      </w:r>
    </w:p>
    <w:p>
      <w:pPr>
        <w:pStyle w:val="19"/>
        <w:ind w:left="0" w:leftChars="0" w:firstLine="0" w:firstLineChars="0"/>
        <w:rPr>
          <w:rFonts w:hint="eastAsia"/>
        </w:rPr>
      </w:pPr>
      <w:r>
        <w:rPr>
          <w:rFonts w:hint="eastAsia" w:asciiTheme="minorEastAsia" w:hAnsiTheme="minorEastAsia" w:eastAsiaTheme="minorEastAsia" w:cstheme="minorEastAsia"/>
          <w:color w:val="000000"/>
          <w:sz w:val="24"/>
          <w:szCs w:val="22"/>
          <w:lang w:val="en-US" w:eastAsia="zh-CN"/>
        </w:rPr>
        <w:t xml:space="preserve">    7、</w:t>
      </w:r>
      <w:r>
        <w:rPr>
          <w:rFonts w:hint="eastAsia" w:asciiTheme="minorEastAsia" w:hAnsiTheme="minorEastAsia" w:eastAsiaTheme="minorEastAsia" w:cstheme="minorEastAsia"/>
          <w:color w:val="000000"/>
          <w:sz w:val="24"/>
          <w:szCs w:val="22"/>
        </w:rPr>
        <w:t>关于资格文件的声明函（格式参见第八章）</w:t>
      </w:r>
    </w:p>
    <w:p>
      <w:pPr>
        <w:spacing w:line="360" w:lineRule="auto"/>
        <w:ind w:firstLine="480" w:firstLineChars="200"/>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lang w:val="en-US" w:eastAsia="zh-CN"/>
        </w:rPr>
        <w:t>8</w:t>
      </w:r>
      <w:r>
        <w:rPr>
          <w:rFonts w:hint="eastAsia" w:asciiTheme="minorEastAsia" w:hAnsiTheme="minorEastAsia" w:eastAsiaTheme="minorEastAsia" w:cstheme="minorEastAsia"/>
          <w:color w:val="000000"/>
          <w:sz w:val="24"/>
          <w:szCs w:val="22"/>
        </w:rPr>
        <w:t>、本项目不接受联合体投标。</w:t>
      </w:r>
    </w:p>
    <w:p>
      <w:pPr>
        <w:widowControl/>
        <w:snapToGrid w:val="0"/>
        <w:spacing w:line="360" w:lineRule="auto"/>
        <w:ind w:left="412" w:leftChars="196"/>
        <w:jc w:val="left"/>
        <w:rPr>
          <w:rFonts w:hint="eastAsia"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具体资格要求详见第八章中的“资格审查文件”。</w:t>
      </w:r>
    </w:p>
    <w:p>
      <w:pPr>
        <w:snapToGrid w:val="0"/>
        <w:spacing w:line="480" w:lineRule="exact"/>
        <w:ind w:firstLine="482" w:firstLineChars="200"/>
        <w:rPr>
          <w:rFonts w:hint="eastAsia"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请供应商认真对照资格要求，如不符合要求，无意或故意参与投标的，所产生的一切后果由供应商承担。对提供虚假材料的响应供应商作无效标处理，磋商保证金不予退还，并报财政部门后将其列入政府采购黑名单。</w:t>
      </w:r>
    </w:p>
    <w:p>
      <w:pPr>
        <w:snapToGrid w:val="0"/>
        <w:spacing w:line="420" w:lineRule="exact"/>
        <w:ind w:firstLine="491" w:firstLineChars="205"/>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pPr>
        <w:widowControl/>
        <w:spacing w:line="600" w:lineRule="exact"/>
        <w:ind w:left="1"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五、响应文件接收截止及评审磋商开始时间：</w:t>
      </w:r>
      <w:r>
        <w:rPr>
          <w:rFonts w:hint="eastAsia" w:asciiTheme="minorEastAsia" w:hAnsiTheme="minorEastAsia" w:eastAsiaTheme="minorEastAsia" w:cstheme="minorEastAsia"/>
          <w:b/>
          <w:bCs/>
          <w:sz w:val="24"/>
          <w:szCs w:val="24"/>
        </w:rPr>
        <w:t>2019年</w:t>
      </w:r>
      <w:r>
        <w:rPr>
          <w:rFonts w:hint="eastAsia" w:asciiTheme="minorEastAsia" w:hAnsiTheme="minorEastAsia" w:eastAsiaTheme="minorEastAsia" w:cstheme="minorEastAsia"/>
          <w:b/>
          <w:bCs/>
          <w:sz w:val="24"/>
          <w:szCs w:val="24"/>
          <w:lang w:val="en-US" w:eastAsia="zh-CN"/>
        </w:rPr>
        <w:t>12</w:t>
      </w:r>
      <w:r>
        <w:rPr>
          <w:rFonts w:hint="eastAsia" w:asciiTheme="minorEastAsia" w:hAnsiTheme="minorEastAsia" w:eastAsiaTheme="minorEastAsia" w:cstheme="minorEastAsia"/>
          <w:b/>
          <w:bCs/>
          <w:sz w:val="24"/>
          <w:szCs w:val="24"/>
        </w:rPr>
        <w:t>月</w:t>
      </w:r>
      <w:r>
        <w:rPr>
          <w:rFonts w:hint="eastAsia" w:asciiTheme="minorEastAsia" w:hAnsiTheme="minorEastAsia" w:eastAsiaTheme="minorEastAsia" w:cstheme="minorEastAsia"/>
          <w:b/>
          <w:bCs/>
          <w:sz w:val="24"/>
          <w:szCs w:val="24"/>
          <w:lang w:val="en-US" w:eastAsia="zh-CN"/>
        </w:rPr>
        <w:t>23</w:t>
      </w:r>
      <w:r>
        <w:rPr>
          <w:rFonts w:hint="eastAsia" w:asciiTheme="minorEastAsia" w:hAnsiTheme="minorEastAsia" w:eastAsiaTheme="minorEastAsia" w:cstheme="minorEastAsia"/>
          <w:b/>
          <w:bCs/>
          <w:sz w:val="24"/>
          <w:szCs w:val="24"/>
        </w:rPr>
        <w:t>日</w:t>
      </w:r>
      <w:r>
        <w:rPr>
          <w:rFonts w:hint="eastAsia" w:asciiTheme="minorEastAsia" w:hAnsiTheme="minorEastAsia" w:eastAsiaTheme="minorEastAsia" w:cstheme="minorEastAsia"/>
          <w:b/>
          <w:bCs/>
          <w:sz w:val="24"/>
          <w:szCs w:val="24"/>
          <w:lang w:val="en-US" w:eastAsia="zh-CN"/>
        </w:rPr>
        <w:t>10</w:t>
      </w:r>
      <w:r>
        <w:rPr>
          <w:rFonts w:hint="eastAsia" w:asciiTheme="minorEastAsia" w:hAnsiTheme="minorEastAsia" w:eastAsiaTheme="minorEastAsia" w:cstheme="minorEastAsia"/>
          <w:b/>
          <w:bCs/>
          <w:sz w:val="24"/>
          <w:szCs w:val="24"/>
        </w:rPr>
        <w:t>时</w:t>
      </w:r>
      <w:r>
        <w:rPr>
          <w:rFonts w:hint="eastAsia" w:asciiTheme="minorEastAsia" w:hAnsiTheme="minorEastAsia" w:eastAsiaTheme="minorEastAsia" w:cstheme="minorEastAsia"/>
          <w:b/>
          <w:bCs/>
          <w:sz w:val="24"/>
          <w:szCs w:val="24"/>
          <w:lang w:val="en-US" w:eastAsia="zh-CN"/>
        </w:rPr>
        <w:t>00</w:t>
      </w:r>
      <w:r>
        <w:rPr>
          <w:rFonts w:hint="eastAsia" w:asciiTheme="minorEastAsia" w:hAnsiTheme="minorEastAsia" w:eastAsiaTheme="minorEastAsia" w:cstheme="minorEastAsia"/>
          <w:b/>
          <w:bCs/>
          <w:sz w:val="24"/>
          <w:szCs w:val="24"/>
        </w:rPr>
        <w:t>分</w:t>
      </w:r>
      <w:r>
        <w:rPr>
          <w:rFonts w:hint="eastAsia" w:asciiTheme="minorEastAsia" w:hAnsiTheme="minorEastAsia" w:eastAsiaTheme="minorEastAsia" w:cstheme="minorEastAsia"/>
          <w:sz w:val="24"/>
          <w:szCs w:val="24"/>
        </w:rPr>
        <w:t>。</w:t>
      </w:r>
    </w:p>
    <w:p>
      <w:pPr>
        <w:widowControl/>
        <w:spacing w:line="600" w:lineRule="exact"/>
        <w:ind w:left="1"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六、响应文件递交地址：南通市濠南路251号江苏省南通市人民检察院主楼五楼会议室，如有变动另行通知。</w:t>
      </w:r>
    </w:p>
    <w:p>
      <w:pPr>
        <w:autoSpaceDE w:val="0"/>
        <w:autoSpaceDN w:val="0"/>
        <w:adjustRightInd w:val="0"/>
        <w:spacing w:line="500" w:lineRule="exact"/>
        <w:ind w:firstLine="482" w:firstLineChars="200"/>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投标供应商递交投标响应文件时，投标供应商的法定代表人（或其授权代理人）必须携带本人身份证、法定代表人身份证明（或授权委托书）原件准时参加开标会议。否则，其投标响应文件不予受理。</w:t>
      </w:r>
      <w:r>
        <w:rPr>
          <w:rFonts w:hint="eastAsia" w:asciiTheme="minorEastAsia" w:hAnsiTheme="minorEastAsia" w:eastAsiaTheme="minorEastAsia" w:cstheme="minorEastAsia"/>
          <w:b/>
          <w:bCs/>
          <w:sz w:val="24"/>
          <w:szCs w:val="24"/>
        </w:rPr>
        <w:t>注：法定代表人身份证明（或授权委托书）一式二份，一份装订在资格审查文件中，另一份在投标时随身携带。</w:t>
      </w:r>
    </w:p>
    <w:p>
      <w:pPr>
        <w:spacing w:line="48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七、磋商保证金</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供应商需缴纳磋商保证金</w:t>
      </w:r>
      <w:r>
        <w:rPr>
          <w:rFonts w:hint="eastAsia" w:asciiTheme="minorEastAsia" w:hAnsiTheme="minorEastAsia" w:eastAsiaTheme="minorEastAsia" w:cstheme="minorEastAsia"/>
          <w:sz w:val="24"/>
          <w:szCs w:val="24"/>
          <w:u w:val="single"/>
          <w:lang w:eastAsia="zh-CN"/>
        </w:rPr>
        <w:t>叁</w:t>
      </w:r>
      <w:r>
        <w:rPr>
          <w:rFonts w:hint="eastAsia" w:asciiTheme="minorEastAsia" w:hAnsiTheme="minorEastAsia" w:eastAsiaTheme="minorEastAsia" w:cstheme="minorEastAsia"/>
          <w:sz w:val="24"/>
          <w:szCs w:val="24"/>
          <w:u w:val="single"/>
        </w:rPr>
        <w:t>仟元整（</w:t>
      </w:r>
      <w:r>
        <w:rPr>
          <w:rFonts w:hint="eastAsia" w:asciiTheme="minorEastAsia" w:hAnsiTheme="minorEastAsia" w:eastAsiaTheme="minorEastAsia" w:cstheme="minorEastAsia"/>
          <w:sz w:val="24"/>
          <w:szCs w:val="24"/>
          <w:u w:val="single"/>
          <w:lang w:val="en-US" w:eastAsia="zh-CN"/>
        </w:rPr>
        <w:t>3</w:t>
      </w:r>
      <w:r>
        <w:rPr>
          <w:rFonts w:hint="eastAsia" w:asciiTheme="minorEastAsia" w:hAnsiTheme="minorEastAsia" w:eastAsiaTheme="minorEastAsia" w:cstheme="minorEastAsia"/>
          <w:sz w:val="24"/>
          <w:szCs w:val="24"/>
          <w:u w:val="single"/>
        </w:rPr>
        <w:t>000元）</w:t>
      </w:r>
      <w:r>
        <w:rPr>
          <w:rFonts w:hint="eastAsia" w:asciiTheme="minorEastAsia" w:hAnsiTheme="minorEastAsia" w:eastAsiaTheme="minorEastAsia" w:cstheme="minorEastAsia"/>
          <w:sz w:val="24"/>
          <w:szCs w:val="24"/>
        </w:rPr>
        <w:t>。磋商保证金一律采用</w:t>
      </w:r>
      <w:r>
        <w:rPr>
          <w:rFonts w:hint="eastAsia" w:asciiTheme="minorEastAsia" w:hAnsiTheme="minorEastAsia" w:eastAsiaTheme="minorEastAsia" w:cstheme="minorEastAsia"/>
          <w:b/>
          <w:sz w:val="24"/>
          <w:szCs w:val="24"/>
          <w:u w:val="single"/>
        </w:rPr>
        <w:t>银行汇票、现金支票或转账支票</w:t>
      </w:r>
      <w:r>
        <w:rPr>
          <w:rFonts w:hint="eastAsia" w:asciiTheme="minorEastAsia" w:hAnsiTheme="minorEastAsia" w:eastAsiaTheme="minorEastAsia" w:cstheme="minorEastAsia"/>
          <w:sz w:val="24"/>
          <w:szCs w:val="24"/>
        </w:rPr>
        <w:t>形式递交，拒绝其他方式递交</w:t>
      </w:r>
      <w:r>
        <w:rPr>
          <w:rFonts w:hint="eastAsia" w:asciiTheme="minorEastAsia" w:hAnsiTheme="minorEastAsia" w:eastAsiaTheme="minorEastAsia" w:cstheme="minorEastAsia"/>
          <w:b/>
          <w:bCs/>
          <w:color w:val="FF0000"/>
          <w:sz w:val="24"/>
          <w:szCs w:val="24"/>
          <w:u w:val="double"/>
        </w:rPr>
        <w:t>（请勿直接转账到采购人账户）</w:t>
      </w:r>
      <w:r>
        <w:rPr>
          <w:rFonts w:hint="eastAsia" w:asciiTheme="minorEastAsia" w:hAnsiTheme="minorEastAsia" w:eastAsiaTheme="minorEastAsia" w:cstheme="minorEastAsia"/>
          <w:sz w:val="24"/>
          <w:szCs w:val="24"/>
        </w:rPr>
        <w:t>，并在汇票或支票上注明“</w:t>
      </w:r>
      <w:r>
        <w:rPr>
          <w:rFonts w:hint="eastAsia" w:asciiTheme="minorEastAsia" w:hAnsiTheme="minorEastAsia" w:eastAsiaTheme="minorEastAsia" w:cstheme="minorEastAsia"/>
          <w:b/>
          <w:bCs/>
          <w:sz w:val="24"/>
          <w:szCs w:val="24"/>
          <w:u w:val="single"/>
        </w:rPr>
        <w:t>检察院磋商保证金</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银行汇票、现金支票或转账支票</w:t>
      </w:r>
      <w:r>
        <w:rPr>
          <w:rFonts w:hint="eastAsia" w:asciiTheme="minorEastAsia" w:hAnsiTheme="minorEastAsia" w:eastAsiaTheme="minorEastAsia" w:cstheme="minorEastAsia"/>
          <w:sz w:val="24"/>
          <w:szCs w:val="24"/>
        </w:rPr>
        <w:t xml:space="preserve">带至开标现场在递交磋商响应文件时交给采购单位。 </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保证金上必须注明收款人为：</w:t>
      </w:r>
      <w:r>
        <w:rPr>
          <w:rStyle w:val="23"/>
          <w:rFonts w:hint="eastAsia" w:asciiTheme="minorEastAsia" w:hAnsiTheme="minorEastAsia" w:eastAsiaTheme="minorEastAsia" w:cstheme="minorEastAsia"/>
          <w:sz w:val="24"/>
          <w:szCs w:val="24"/>
        </w:rPr>
        <w:t>南通市财政局</w:t>
      </w:r>
      <w:r>
        <w:rPr>
          <w:rFonts w:hint="eastAsia" w:asciiTheme="minorEastAsia" w:hAnsiTheme="minorEastAsia" w:eastAsiaTheme="minorEastAsia" w:cstheme="minorEastAsia"/>
          <w:b/>
          <w:bCs/>
          <w:sz w:val="24"/>
          <w:szCs w:val="24"/>
        </w:rPr>
        <w:t>，用途为：</w:t>
      </w:r>
      <w:r>
        <w:rPr>
          <w:rFonts w:hint="eastAsia" w:asciiTheme="minorEastAsia" w:hAnsiTheme="minorEastAsia" w:eastAsiaTheme="minorEastAsia" w:cstheme="minorEastAsia"/>
          <w:b/>
          <w:bCs/>
          <w:sz w:val="24"/>
          <w:szCs w:val="24"/>
          <w:u w:val="single"/>
        </w:rPr>
        <w:t>检察院磋商保证金</w:t>
      </w:r>
      <w:r>
        <w:rPr>
          <w:rFonts w:hint="eastAsia" w:asciiTheme="minorEastAsia" w:hAnsiTheme="minorEastAsia" w:eastAsiaTheme="minorEastAsia" w:cstheme="minorEastAsia"/>
          <w:b/>
          <w:bCs/>
          <w:sz w:val="24"/>
          <w:szCs w:val="24"/>
        </w:rPr>
        <w:t>；汇款人为：</w:t>
      </w:r>
      <w:r>
        <w:rPr>
          <w:rFonts w:hint="eastAsia" w:asciiTheme="minorEastAsia" w:hAnsiTheme="minorEastAsia" w:eastAsiaTheme="minorEastAsia" w:cstheme="minorEastAsia"/>
          <w:b/>
          <w:bCs/>
          <w:sz w:val="24"/>
          <w:szCs w:val="24"/>
          <w:u w:val="single"/>
        </w:rPr>
        <w:t>供应商名称</w:t>
      </w:r>
      <w:r>
        <w:rPr>
          <w:rFonts w:hint="eastAsia" w:asciiTheme="minorEastAsia" w:hAnsiTheme="minorEastAsia" w:eastAsiaTheme="minorEastAsia" w:cstheme="minorEastAsia"/>
          <w:b/>
          <w:bCs/>
          <w:sz w:val="24"/>
          <w:szCs w:val="24"/>
        </w:rPr>
        <w:t>。</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sz w:val="24"/>
          <w:szCs w:val="24"/>
        </w:rPr>
        <w:t xml:space="preserve">账  户： </w:t>
      </w:r>
      <w:r>
        <w:rPr>
          <w:rFonts w:hint="eastAsia" w:asciiTheme="minorEastAsia" w:hAnsiTheme="minorEastAsia" w:eastAsiaTheme="minorEastAsia" w:cstheme="minorEastAsia"/>
          <w:kern w:val="0"/>
          <w:sz w:val="24"/>
          <w:szCs w:val="24"/>
        </w:rPr>
        <w:t>南通市财政局</w:t>
      </w:r>
    </w:p>
    <w:p>
      <w:pPr>
        <w:widowControl/>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开户行： </w:t>
      </w:r>
      <w:r>
        <w:rPr>
          <w:rFonts w:hint="eastAsia" w:asciiTheme="minorEastAsia" w:hAnsiTheme="minorEastAsia" w:eastAsiaTheme="minorEastAsia" w:cstheme="minorEastAsia"/>
          <w:kern w:val="0"/>
          <w:sz w:val="24"/>
          <w:szCs w:val="24"/>
        </w:rPr>
        <w:t>中行西被闸支行</w:t>
      </w:r>
    </w:p>
    <w:p>
      <w:pPr>
        <w:spacing w:line="480" w:lineRule="exact"/>
        <w:ind w:left="479" w:leftChars="228"/>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Cs/>
          <w:sz w:val="24"/>
          <w:szCs w:val="24"/>
        </w:rPr>
        <w:t xml:space="preserve">开户账号: </w:t>
      </w:r>
      <w:r>
        <w:rPr>
          <w:rFonts w:hint="eastAsia" w:asciiTheme="minorEastAsia" w:hAnsiTheme="minorEastAsia" w:eastAsiaTheme="minorEastAsia" w:cstheme="minorEastAsia"/>
          <w:kern w:val="0"/>
          <w:sz w:val="24"/>
          <w:szCs w:val="24"/>
        </w:rPr>
        <w:t>471558227682</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b/>
          <w:bCs/>
          <w:sz w:val="24"/>
          <w:szCs w:val="24"/>
        </w:rPr>
        <w:t>磋商保证金不得密封在磋商响应文件内，未按上述要求提交磋商保证金的供应商，采购单位有权拒绝其磋商响应文件。</w:t>
      </w:r>
    </w:p>
    <w:p>
      <w:pPr>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八</w:t>
      </w:r>
      <w:r>
        <w:rPr>
          <w:rFonts w:hint="eastAsia" w:asciiTheme="minorEastAsia" w:hAnsiTheme="minorEastAsia" w:eastAsiaTheme="minorEastAsia" w:cstheme="minorEastAsia"/>
          <w:sz w:val="24"/>
          <w:szCs w:val="24"/>
        </w:rPr>
        <w:t>、联系方式</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采购单位：江苏省南通市人民检察院</w:t>
      </w:r>
    </w:p>
    <w:p>
      <w:pPr>
        <w:spacing w:line="48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采购单位联系人：王主任        联系电话：13921670203</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代理机构：南通正扬工程项目管理有限公司</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地址：南通市崇川区青年东路255号4号楼213室</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联系人：李艳梅              联系电话：17778751998</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邮箱号码：</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"mailto:fgyjszx2@163.com"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 w:val="24"/>
          <w:szCs w:val="24"/>
        </w:rPr>
        <w:t>1205007749@qq.com</w:t>
      </w:r>
      <w:r>
        <w:rPr>
          <w:rFonts w:hint="eastAsia" w:asciiTheme="minorEastAsia" w:hAnsiTheme="minorEastAsia" w:eastAsiaTheme="minorEastAsia" w:cstheme="minorEastAsia"/>
          <w:sz w:val="24"/>
          <w:szCs w:val="24"/>
        </w:rPr>
        <w:fldChar w:fldCharType="end"/>
      </w:r>
    </w:p>
    <w:p>
      <w:pPr>
        <w:spacing w:line="500" w:lineRule="exact"/>
        <w:ind w:firstLine="482" w:firstLineChars="200"/>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九</w:t>
      </w:r>
      <w:r>
        <w:rPr>
          <w:rFonts w:hint="eastAsia" w:asciiTheme="minorEastAsia" w:hAnsiTheme="minorEastAsia" w:eastAsiaTheme="minorEastAsia" w:cstheme="minorEastAsia"/>
          <w:b/>
          <w:bCs/>
          <w:kern w:val="0"/>
          <w:sz w:val="24"/>
          <w:szCs w:val="24"/>
        </w:rPr>
        <w:t>、招标公告发布地址</w:t>
      </w:r>
    </w:p>
    <w:p>
      <w:pPr>
        <w:spacing w:line="5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1、本次采购的有关信息将在</w:t>
      </w:r>
      <w:r>
        <w:rPr>
          <w:rFonts w:hint="eastAsia" w:asciiTheme="minorEastAsia" w:hAnsiTheme="minorEastAsia" w:eastAsiaTheme="minorEastAsia" w:cstheme="minorEastAsia"/>
          <w:b/>
          <w:kern w:val="0"/>
          <w:sz w:val="24"/>
          <w:szCs w:val="24"/>
        </w:rPr>
        <w:t>江苏省南通市人民检察院官网</w:t>
      </w:r>
      <w:r>
        <w:rPr>
          <w:rFonts w:hint="eastAsia" w:asciiTheme="minorEastAsia" w:hAnsiTheme="minorEastAsia" w:eastAsiaTheme="minorEastAsia" w:cstheme="minorEastAsia"/>
          <w:kern w:val="0"/>
          <w:sz w:val="24"/>
          <w:szCs w:val="24"/>
        </w:rPr>
        <w:t>发布，敬请留意。</w:t>
      </w:r>
    </w:p>
    <w:p>
      <w:pPr>
        <w:widowControl/>
        <w:spacing w:line="600" w:lineRule="exact"/>
        <w:ind w:left="1"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2、有关本次招标的事项若存在变动或修改，敬请及时关注江苏省南通市人民检察院官网发布的信息更正公告，恕不另行通知，如有遗漏招标采购人概不负责。</w:t>
      </w:r>
    </w:p>
    <w:p>
      <w:pPr>
        <w:spacing w:line="5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潜在供应商在获取本次招标采购文件后，认真阅读各项内容。有意愿参与本项目投标响应的供应商须进行必要准备工作，按招标文件的要求详细填写和编制响应文件，并按招标文件确定的时间、地点准时参加本项目的招标采购活动。</w:t>
      </w:r>
    </w:p>
    <w:p>
      <w:pPr>
        <w:spacing w:line="480" w:lineRule="exact"/>
        <w:ind w:firstLine="480" w:firstLineChars="200"/>
        <w:rPr>
          <w:rFonts w:hint="eastAsia" w:asciiTheme="minorEastAsia" w:hAnsiTheme="minorEastAsia" w:eastAsiaTheme="minorEastAsia" w:cstheme="minorEastAsia"/>
          <w:sz w:val="24"/>
          <w:szCs w:val="24"/>
        </w:rPr>
      </w:pPr>
    </w:p>
    <w:p>
      <w:pPr>
        <w:pStyle w:val="3"/>
        <w:keepNext w:val="0"/>
        <w:keepLines w:val="0"/>
        <w:adjustRightInd w:val="0"/>
        <w:snapToGrid w:val="0"/>
        <w:spacing w:before="0" w:after="0" w:line="800" w:lineRule="exact"/>
        <w:jc w:val="center"/>
        <w:textAlignment w:val="baseline"/>
        <w:rPr>
          <w:rFonts w:hint="eastAsia" w:asciiTheme="minorEastAsia" w:hAnsiTheme="minorEastAsia" w:eastAsiaTheme="minorEastAsia" w:cstheme="minorEastAsia"/>
          <w:w w:val="80"/>
          <w:szCs w:val="44"/>
        </w:rPr>
      </w:pPr>
      <w:r>
        <w:rPr>
          <w:rFonts w:hint="eastAsia" w:asciiTheme="minorEastAsia" w:hAnsiTheme="minorEastAsia" w:eastAsiaTheme="minorEastAsia" w:cstheme="minorEastAsia"/>
          <w:w w:val="80"/>
          <w:szCs w:val="44"/>
        </w:rPr>
        <w:br w:type="page"/>
      </w:r>
      <w:r>
        <w:rPr>
          <w:rFonts w:hint="eastAsia" w:asciiTheme="minorEastAsia" w:hAnsiTheme="minorEastAsia" w:eastAsiaTheme="minorEastAsia" w:cstheme="minorEastAsia"/>
          <w:w w:val="80"/>
          <w:szCs w:val="44"/>
        </w:rPr>
        <w:t>第二章  投标供应商须知</w:t>
      </w:r>
    </w:p>
    <w:p>
      <w:pPr>
        <w:snapToGrid w:val="0"/>
        <w:spacing w:line="480" w:lineRule="exact"/>
        <w:ind w:firstLine="482" w:firstLineChars="200"/>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一、说明</w:t>
      </w:r>
    </w:p>
    <w:p>
      <w:pPr>
        <w:snapToGrid w:val="0"/>
        <w:spacing w:line="48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1、本竞争性磋商文件仅适用于采购人组织的竞争性磋商采购活动。</w:t>
      </w:r>
    </w:p>
    <w:p>
      <w:pPr>
        <w:snapToGrid w:val="0"/>
        <w:spacing w:line="48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2、竞争性磋商活动及因本次磋商产生的合同受中国法律制约和保护。</w:t>
      </w:r>
    </w:p>
    <w:p>
      <w:pPr>
        <w:snapToGrid w:val="0"/>
        <w:spacing w:line="48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3、竞争性磋商文件的解释权属于采购人。</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asciiTheme="minorEastAsia" w:hAnsiTheme="minorEastAsia" w:eastAsiaTheme="minorEastAsia" w:cstheme="minorEastAsia"/>
          <w:b/>
          <w:sz w:val="24"/>
          <w:szCs w:val="24"/>
        </w:rPr>
        <w:t>非书面形式的不作为日后质疑提出的依据。</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6、供应商在磋商开始前自行踏勘现场，供应商务必自行认真踏勘现场条件，进一步获取所需信息，一旦中标不得对现场条件提出额外要求，不得要求增加费用，采购人可视情组织答疑会。</w:t>
      </w:r>
    </w:p>
    <w:p>
      <w:pPr>
        <w:spacing w:line="360" w:lineRule="auto"/>
        <w:ind w:firstLine="480" w:firstLineChars="200"/>
        <w:rPr>
          <w:rFonts w:ascii="宋体" w:hAnsi="宋体" w:cs="宋体"/>
          <w:b w:val="0"/>
          <w:bCs w:val="0"/>
          <w:sz w:val="24"/>
          <w:szCs w:val="24"/>
          <w:highlight w:val="none"/>
          <w:u w:val="single"/>
        </w:rPr>
      </w:pPr>
      <w:r>
        <w:rPr>
          <w:rFonts w:hint="eastAsia" w:ascii="宋体" w:hAnsi="宋体" w:cs="宋体"/>
          <w:b w:val="0"/>
          <w:bCs w:val="0"/>
          <w:sz w:val="24"/>
          <w:szCs w:val="24"/>
          <w:highlight w:val="none"/>
        </w:rPr>
        <w:t>7</w:t>
      </w:r>
      <w:r>
        <w:rPr>
          <w:rFonts w:hint="eastAsia" w:ascii="宋体" w:hAnsi="宋体" w:cs="宋体"/>
          <w:b w:val="0"/>
          <w:bCs w:val="0"/>
          <w:sz w:val="24"/>
          <w:szCs w:val="24"/>
          <w:highlight w:val="none"/>
          <w:u w:val="single"/>
        </w:rPr>
        <w:t>、中标后,采购人不保证维保设备的完好性,中标供应商在合同签订后30日内，对所有被维护对象进行全面检查，在此基础上对系统进行调优，对故障器件进行更换，</w:t>
      </w:r>
      <w:r>
        <w:rPr>
          <w:rFonts w:hint="eastAsia" w:ascii="宋体" w:hAnsi="宋体" w:cs="Lucida Sans Unicode"/>
          <w:b w:val="0"/>
          <w:bCs w:val="0"/>
          <w:sz w:val="24"/>
          <w:szCs w:val="24"/>
          <w:highlight w:val="none"/>
          <w:u w:val="single"/>
        </w:rPr>
        <w:t>发生设备硬件损坏等问题</w:t>
      </w:r>
      <w:r>
        <w:rPr>
          <w:rFonts w:hint="eastAsia" w:ascii="宋体" w:hAnsi="宋体" w:cs="Lucida Sans Unicode"/>
          <w:b w:val="0"/>
          <w:bCs w:val="0"/>
          <w:sz w:val="24"/>
          <w:szCs w:val="24"/>
          <w:highlight w:val="none"/>
          <w:u w:val="single"/>
          <w:lang w:val="en-US" w:eastAsia="zh-CN"/>
        </w:rPr>
        <w:t>单价</w:t>
      </w:r>
      <w:r>
        <w:rPr>
          <w:rFonts w:hint="eastAsia" w:ascii="宋体" w:hAnsi="宋体" w:cs="Lucida Sans Unicode"/>
          <w:b w:val="0"/>
          <w:bCs w:val="0"/>
          <w:sz w:val="24"/>
          <w:szCs w:val="24"/>
          <w:highlight w:val="none"/>
          <w:u w:val="single"/>
        </w:rPr>
        <w:t>在5</w:t>
      </w:r>
      <w:r>
        <w:rPr>
          <w:rFonts w:ascii="宋体" w:hAnsi="宋体" w:cs="Lucida Sans Unicode"/>
          <w:b w:val="0"/>
          <w:bCs w:val="0"/>
          <w:sz w:val="24"/>
          <w:szCs w:val="24"/>
          <w:highlight w:val="none"/>
          <w:u w:val="single"/>
        </w:rPr>
        <w:t>000</w:t>
      </w:r>
      <w:r>
        <w:rPr>
          <w:rFonts w:hint="eastAsia" w:ascii="宋体" w:hAnsi="宋体" w:cs="Lucida Sans Unicode"/>
          <w:b w:val="0"/>
          <w:bCs w:val="0"/>
          <w:sz w:val="24"/>
          <w:szCs w:val="24"/>
          <w:highlight w:val="none"/>
          <w:u w:val="single"/>
        </w:rPr>
        <w:t>元（人民币）以下的由运维公司负责，</w:t>
      </w:r>
      <w:r>
        <w:rPr>
          <w:rFonts w:hint="eastAsia" w:ascii="宋体" w:hAnsi="宋体" w:cs="Lucida Sans Unicode"/>
          <w:b w:val="0"/>
          <w:bCs w:val="0"/>
          <w:sz w:val="24"/>
          <w:szCs w:val="24"/>
          <w:highlight w:val="none"/>
          <w:u w:val="single"/>
          <w:lang w:val="en-US" w:eastAsia="zh-CN"/>
        </w:rPr>
        <w:t>单价</w:t>
      </w:r>
      <w:r>
        <w:rPr>
          <w:rFonts w:hint="eastAsia" w:ascii="宋体" w:hAnsi="宋体" w:cs="Lucida Sans Unicode"/>
          <w:b w:val="0"/>
          <w:bCs w:val="0"/>
          <w:sz w:val="24"/>
          <w:szCs w:val="24"/>
          <w:highlight w:val="none"/>
          <w:u w:val="single"/>
        </w:rPr>
        <w:t>在5</w:t>
      </w:r>
      <w:r>
        <w:rPr>
          <w:rFonts w:ascii="宋体" w:hAnsi="宋体" w:cs="Lucida Sans Unicode"/>
          <w:b w:val="0"/>
          <w:bCs w:val="0"/>
          <w:sz w:val="24"/>
          <w:szCs w:val="24"/>
          <w:highlight w:val="none"/>
          <w:u w:val="single"/>
        </w:rPr>
        <w:t>000</w:t>
      </w:r>
      <w:r>
        <w:rPr>
          <w:rFonts w:hint="eastAsia" w:ascii="宋体" w:hAnsi="宋体" w:cs="Lucida Sans Unicode"/>
          <w:b w:val="0"/>
          <w:bCs w:val="0"/>
          <w:sz w:val="24"/>
          <w:szCs w:val="24"/>
          <w:highlight w:val="none"/>
          <w:u w:val="single"/>
        </w:rPr>
        <w:t>元（人民币）以上（含5</w:t>
      </w:r>
      <w:r>
        <w:rPr>
          <w:rFonts w:ascii="宋体" w:hAnsi="宋体" w:cs="Lucida Sans Unicode"/>
          <w:b w:val="0"/>
          <w:bCs w:val="0"/>
          <w:sz w:val="24"/>
          <w:szCs w:val="24"/>
          <w:highlight w:val="none"/>
          <w:u w:val="single"/>
        </w:rPr>
        <w:t>000</w:t>
      </w:r>
      <w:r>
        <w:rPr>
          <w:rFonts w:hint="eastAsia" w:ascii="宋体" w:hAnsi="宋体" w:cs="Lucida Sans Unicode"/>
          <w:b w:val="0"/>
          <w:bCs w:val="0"/>
          <w:sz w:val="24"/>
          <w:szCs w:val="24"/>
          <w:highlight w:val="none"/>
          <w:u w:val="single"/>
        </w:rPr>
        <w:t>元）的由甲方负责</w:t>
      </w:r>
      <w:r>
        <w:rPr>
          <w:rFonts w:hint="eastAsia" w:ascii="宋体" w:hAnsi="宋体" w:cs="Lucida Sans Unicode"/>
          <w:b w:val="0"/>
          <w:bCs w:val="0"/>
          <w:sz w:val="24"/>
          <w:szCs w:val="24"/>
          <w:highlight w:val="none"/>
          <w:u w:val="single"/>
          <w:lang w:eastAsia="zh-CN"/>
        </w:rPr>
        <w:t>。</w:t>
      </w:r>
      <w:r>
        <w:rPr>
          <w:rFonts w:hint="eastAsia" w:ascii="宋体" w:hAnsi="宋体" w:cs="宋体"/>
          <w:b w:val="0"/>
          <w:bCs w:val="0"/>
          <w:sz w:val="24"/>
          <w:szCs w:val="24"/>
          <w:highlight w:val="none"/>
          <w:u w:val="single"/>
        </w:rPr>
        <w:t>故请各位潜在投标人参与竞标之前，联系采购人踏勘现场，以便决定是否参与投标。投标人不得因此使采购人承担有关的责任和蒙受损失。投标人应承担踏勘现场的责任和风险。投标时提供采购单位信息中心盖章的现场勘察承诺函原件,以证明清楚了解本项目全部情况。现场勘查联系人：季先生</w:t>
      </w:r>
      <w:r>
        <w:rPr>
          <w:rFonts w:hint="eastAsia" w:ascii="宋体" w:hAnsi="宋体" w:cs="宋体"/>
          <w:b w:val="0"/>
          <w:bCs w:val="0"/>
          <w:sz w:val="24"/>
          <w:szCs w:val="24"/>
          <w:highlight w:val="none"/>
          <w:u w:val="single"/>
          <w:lang w:val="en-US" w:eastAsia="zh-CN"/>
        </w:rPr>
        <w:t xml:space="preserve"> </w:t>
      </w:r>
      <w:r>
        <w:rPr>
          <w:rFonts w:hint="eastAsia" w:ascii="宋体" w:hAnsi="宋体" w:cs="宋体"/>
          <w:b w:val="0"/>
          <w:bCs w:val="0"/>
          <w:sz w:val="24"/>
          <w:szCs w:val="24"/>
          <w:highlight w:val="none"/>
          <w:u w:val="single"/>
        </w:rPr>
        <w:t xml:space="preserve"> 联系电话：13921678505  </w:t>
      </w:r>
    </w:p>
    <w:p>
      <w:pPr>
        <w:pStyle w:val="19"/>
        <w:rPr>
          <w:rFonts w:hint="eastAsia"/>
        </w:rPr>
      </w:pP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二、磋商文件的澄清、修改、答疑</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1、代理机构有权对发出的磋商文件进行必要的澄清、修改或补充。</w:t>
      </w:r>
    </w:p>
    <w:p>
      <w:pPr>
        <w:snapToGrid w:val="0"/>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2、磋商文件的澄清、修改、补充等内容均以书面明确的形式发布，并以江苏省南通市人民检察院官网发布的信息为准。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3、代理机构对磋商文件的澄清、修改将构成磋商文件的一部分，对响应磋商的供应商具有约束力。</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6、采购单位视情组织答疑会。如有产生答疑且对磋商文件内容有修改，代理机构将按照本须知有关规定，以补充通知（公告）的方式发出。</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三、响应文件的编制及装订</w:t>
      </w:r>
    </w:p>
    <w:p>
      <w:pPr>
        <w:spacing w:line="480" w:lineRule="exact"/>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2" w:firstLineChars="200"/>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四、响应文件的份数和签署</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1、响应文件由：</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资格审查文件、</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技术响应文件、③商务报价响应文件共3部分组成（以下由文件序号代称）。</w:t>
      </w:r>
    </w:p>
    <w:p>
      <w:pPr>
        <w:snapToGrid w:val="0"/>
        <w:spacing w:line="480" w:lineRule="exact"/>
        <w:ind w:firstLine="480" w:firstLineChars="200"/>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sz w:val="24"/>
          <w:szCs w:val="24"/>
        </w:rPr>
        <w:t>2、响应文件均为一式三份，其中“正本”一份和“副本”二份。</w:t>
      </w:r>
    </w:p>
    <w:p>
      <w:pPr>
        <w:snapToGrid w:val="0"/>
        <w:spacing w:line="480" w:lineRule="exact"/>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3、在每份响应文件上要明确标注项目名称、对应的响应文件名称、供应商的全称、日期、“正本”、“副本”字样。“正本”和“副本”若有差异，概以“正本”为准。</w:t>
      </w:r>
    </w:p>
    <w:p>
      <w:pPr>
        <w:snapToGrid w:val="0"/>
        <w:spacing w:line="480" w:lineRule="exact"/>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4、供应商可将响应文件正副本统一密封或分别密封，如正本和副本分别密封的，应在封袋上标明正、副本字样。</w:t>
      </w:r>
    </w:p>
    <w:p>
      <w:pPr>
        <w:snapToGrid w:val="0"/>
        <w:spacing w:line="480" w:lineRule="exact"/>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5、响应文件中的所有“正本”，其正文内容须按磋商文件要求由供应商法定代表人或被授权人签字（或盖章）并加盖单位公章。“副本”可复印，但须加盖单位公章。</w:t>
      </w:r>
    </w:p>
    <w:p>
      <w:pPr>
        <w:snapToGrid w:val="0"/>
        <w:spacing w:line="480" w:lineRule="exact"/>
        <w:ind w:firstLine="472" w:firstLineChars="196"/>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五、响应文件的密封及标记</w:t>
      </w:r>
    </w:p>
    <w:p>
      <w:pPr>
        <w:snapToGrid w:val="0"/>
        <w:spacing w:line="480" w:lineRule="exact"/>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1、供应商须将本项目响应文件：</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3 \* GB3</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
          <w:sz w:val="24"/>
          <w:szCs w:val="24"/>
        </w:rPr>
        <w:t>单独密封</w:t>
      </w:r>
      <w:r>
        <w:rPr>
          <w:rFonts w:hint="eastAsia" w:asciiTheme="minorEastAsia" w:hAnsiTheme="minorEastAsia" w:eastAsiaTheme="minorEastAsia" w:cstheme="minorEastAsia"/>
          <w:sz w:val="24"/>
          <w:szCs w:val="24"/>
        </w:rPr>
        <w:t>。</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2、密封后，应在每一密封的响应文件上明确标注磋商项目名称、响应文件各自对应的名称、供应商的全称及日期。</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3、在边缝处加盖供应商公章或骑缝签字。</w:t>
      </w:r>
    </w:p>
    <w:p>
      <w:pPr>
        <w:snapToGrid w:val="0"/>
        <w:spacing w:line="48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【特别提醒】</w:t>
      </w:r>
      <w:r>
        <w:rPr>
          <w:rFonts w:hint="eastAsia" w:asciiTheme="minorEastAsia" w:hAnsiTheme="minorEastAsia" w:eastAsiaTheme="minorEastAsia" w:cstheme="minorEastAsia"/>
          <w:sz w:val="24"/>
          <w:szCs w:val="24"/>
        </w:rPr>
        <w:t>响应文件中的</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和</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的“正本”或“副本”中，均不得含有商务报价响应文件中报价表（报价单）内的任何项目价格，否则作无效投标处理。</w:t>
      </w:r>
    </w:p>
    <w:p>
      <w:pPr>
        <w:snapToGrid w:val="0"/>
        <w:spacing w:line="480" w:lineRule="exact"/>
        <w:ind w:firstLine="496" w:firstLineChars="206"/>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六、磋商报价</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1、本项目不接受任何有选择的报价。</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2、磋商报价均以人民币为报价的币种。</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4、供应商应按本竞争性磋商文件内项目需求的全部采购内容计算单价和总价。</w:t>
      </w:r>
    </w:p>
    <w:p>
      <w:pPr>
        <w:shd w:val="clear"/>
        <w:spacing w:line="360" w:lineRule="auto"/>
        <w:ind w:firstLine="480" w:firstLineChars="200"/>
        <w:rPr>
          <w:rFonts w:hAnsi="宋体" w:cs="宋体"/>
          <w:sz w:val="24"/>
          <w:szCs w:val="24"/>
          <w:highlight w:val="none"/>
        </w:rPr>
      </w:pPr>
      <w:r>
        <w:rPr>
          <w:rFonts w:hint="eastAsia" w:hAnsi="宋体" w:cs="宋体"/>
          <w:sz w:val="24"/>
          <w:szCs w:val="24"/>
          <w:highlight w:val="none"/>
          <w:lang w:val="en-US" w:eastAsia="zh-CN"/>
        </w:rPr>
        <w:t>5、</w:t>
      </w:r>
      <w:r>
        <w:rPr>
          <w:rFonts w:hint="eastAsia" w:hAnsi="宋体" w:cs="宋体"/>
          <w:sz w:val="24"/>
          <w:szCs w:val="24"/>
          <w:highlight w:val="none"/>
          <w:lang w:eastAsia="zh-CN"/>
        </w:rPr>
        <w:t>本项目</w:t>
      </w:r>
      <w:r>
        <w:rPr>
          <w:rFonts w:hint="eastAsia" w:hAnsi="宋体" w:cs="宋体"/>
          <w:sz w:val="24"/>
          <w:szCs w:val="24"/>
          <w:highlight w:val="none"/>
        </w:rPr>
        <w:t>服务期内项目需求中所有软件发生故障、损耗或升级，产生的一切费用均由中标供应商负责。</w:t>
      </w:r>
      <w:r>
        <w:rPr>
          <w:rFonts w:hint="eastAsia" w:ascii="宋体" w:hAnsi="宋体" w:cs="Lucida Sans Unicode"/>
          <w:sz w:val="24"/>
          <w:szCs w:val="24"/>
          <w:highlight w:val="none"/>
        </w:rPr>
        <w:t>发生设备硬件损坏等问题</w:t>
      </w:r>
      <w:r>
        <w:rPr>
          <w:rFonts w:hint="eastAsia" w:ascii="宋体" w:hAnsi="宋体" w:cs="Lucida Sans Unicode"/>
          <w:sz w:val="24"/>
          <w:szCs w:val="24"/>
          <w:highlight w:val="none"/>
          <w:lang w:val="en-US" w:eastAsia="zh-CN"/>
        </w:rPr>
        <w:t>单价</w:t>
      </w:r>
      <w:r>
        <w:rPr>
          <w:rFonts w:hint="eastAsia" w:ascii="宋体" w:hAnsi="宋体" w:cs="Lucida Sans Unicode"/>
          <w:sz w:val="24"/>
          <w:szCs w:val="24"/>
          <w:highlight w:val="none"/>
        </w:rPr>
        <w:t>在5</w:t>
      </w:r>
      <w:r>
        <w:rPr>
          <w:rFonts w:ascii="宋体" w:hAnsi="宋体" w:cs="Lucida Sans Unicode"/>
          <w:sz w:val="24"/>
          <w:szCs w:val="24"/>
          <w:highlight w:val="none"/>
        </w:rPr>
        <w:t>000</w:t>
      </w:r>
      <w:r>
        <w:rPr>
          <w:rFonts w:hint="eastAsia" w:ascii="宋体" w:hAnsi="宋体" w:cs="Lucida Sans Unicode"/>
          <w:sz w:val="24"/>
          <w:szCs w:val="24"/>
          <w:highlight w:val="none"/>
        </w:rPr>
        <w:t>元（人民币）以下的由运维公司负责，</w:t>
      </w:r>
      <w:r>
        <w:rPr>
          <w:rFonts w:hint="eastAsia" w:ascii="宋体" w:hAnsi="宋体" w:cs="Lucida Sans Unicode"/>
          <w:sz w:val="24"/>
          <w:szCs w:val="24"/>
          <w:highlight w:val="none"/>
          <w:lang w:val="en-US" w:eastAsia="zh-CN"/>
        </w:rPr>
        <w:t>单价</w:t>
      </w:r>
      <w:r>
        <w:rPr>
          <w:rFonts w:hint="eastAsia" w:ascii="宋体" w:hAnsi="宋体" w:cs="Lucida Sans Unicode"/>
          <w:sz w:val="24"/>
          <w:szCs w:val="24"/>
          <w:highlight w:val="none"/>
        </w:rPr>
        <w:t>在5</w:t>
      </w:r>
      <w:r>
        <w:rPr>
          <w:rFonts w:ascii="宋体" w:hAnsi="宋体" w:cs="Lucida Sans Unicode"/>
          <w:sz w:val="24"/>
          <w:szCs w:val="24"/>
          <w:highlight w:val="none"/>
        </w:rPr>
        <w:t>000</w:t>
      </w:r>
      <w:r>
        <w:rPr>
          <w:rFonts w:hint="eastAsia" w:ascii="宋体" w:hAnsi="宋体" w:cs="Lucida Sans Unicode"/>
          <w:sz w:val="24"/>
          <w:szCs w:val="24"/>
          <w:highlight w:val="none"/>
        </w:rPr>
        <w:t>元（人民币）以上（含5</w:t>
      </w:r>
      <w:r>
        <w:rPr>
          <w:rFonts w:ascii="宋体" w:hAnsi="宋体" w:cs="Lucida Sans Unicode"/>
          <w:sz w:val="24"/>
          <w:szCs w:val="24"/>
          <w:highlight w:val="none"/>
        </w:rPr>
        <w:t>000</w:t>
      </w:r>
      <w:r>
        <w:rPr>
          <w:rFonts w:hint="eastAsia" w:ascii="宋体" w:hAnsi="宋体" w:cs="Lucida Sans Unicode"/>
          <w:sz w:val="24"/>
          <w:szCs w:val="24"/>
          <w:highlight w:val="none"/>
        </w:rPr>
        <w:t>元）的由甲方负责</w:t>
      </w:r>
      <w:r>
        <w:rPr>
          <w:rFonts w:hint="eastAsia" w:ascii="宋体" w:hAnsi="宋体" w:cs="Lucida Sans Unicode"/>
          <w:sz w:val="24"/>
          <w:szCs w:val="24"/>
          <w:highlight w:val="none"/>
          <w:lang w:eastAsia="zh-CN"/>
        </w:rPr>
        <w:t>。</w:t>
      </w:r>
      <w:r>
        <w:rPr>
          <w:rFonts w:hint="eastAsia" w:ascii="宋体" w:hAnsi="宋体" w:cs="宋体"/>
          <w:sz w:val="24"/>
          <w:szCs w:val="24"/>
          <w:highlight w:val="none"/>
        </w:rPr>
        <w:t>中标后,采购人不保证维保设备的完好性,中标供应商在合同签订后30日内，对所有被维护对象进行全面检查，在此基础上对系统进行调优，对故障器件进行更换</w:t>
      </w:r>
      <w:r>
        <w:rPr>
          <w:rFonts w:hint="eastAsia" w:ascii="宋体" w:hAnsi="宋体" w:cs="宋体"/>
          <w:sz w:val="24"/>
          <w:szCs w:val="24"/>
          <w:highlight w:val="none"/>
          <w:lang w:eastAsia="zh-CN"/>
        </w:rPr>
        <w:t>。</w:t>
      </w:r>
      <w:r>
        <w:rPr>
          <w:rFonts w:hint="eastAsia" w:hAnsi="宋体" w:cs="宋体"/>
          <w:sz w:val="24"/>
          <w:szCs w:val="24"/>
          <w:highlight w:val="none"/>
        </w:rPr>
        <w:t>总报价（以人民币计价）包括但不限于设备维修费、软件安装升级、清洁费、工具费、辅材费、人工劳务费、维护保养费、性能测试费、</w:t>
      </w:r>
      <w:r>
        <w:rPr>
          <w:rFonts w:hint="eastAsia" w:hAnsi="宋体" w:cs="宋体"/>
          <w:sz w:val="24"/>
          <w:szCs w:val="24"/>
          <w:highlight w:val="none"/>
          <w:lang w:eastAsia="zh-CN"/>
        </w:rPr>
        <w:t>单价</w:t>
      </w:r>
      <w:r>
        <w:rPr>
          <w:rFonts w:hint="eastAsia" w:hAnsi="宋体" w:cs="宋体"/>
          <w:sz w:val="24"/>
          <w:szCs w:val="24"/>
          <w:highlight w:val="none"/>
          <w:lang w:val="en-US" w:eastAsia="zh-CN"/>
        </w:rPr>
        <w:t>5000元以下的</w:t>
      </w:r>
      <w:r>
        <w:rPr>
          <w:rFonts w:hint="eastAsia" w:hAnsi="宋体" w:cs="宋体"/>
          <w:sz w:val="24"/>
          <w:szCs w:val="24"/>
          <w:highlight w:val="none"/>
        </w:rPr>
        <w:t>零部件材料费、易耗品、维保及相关劳务支出等工作所发生的全部费用以及企业利润、税金和政策性文件规定及合同包含的所有风险、责任等各项应有费用。即本项目壹年服务期内所有维保费用等，同时还包含为完成本项目所必须的其他辅助工作的相关费用及响应竞争性磋商文件要求的所有费用。</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7、竞争性磋商的最终报价为成交价。同时，供应商的最终成交价在合同实施期间不因市场变化因素而变动。</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eastAsia="zh-CN"/>
        </w:rPr>
        <w:t>本项目投标人独立承担用人风险，自行制订防范用人风险方案。用人单位自行建立风险管理调控机制，对意外伤害或工伤等风险充分预估，报价时自行考虑，一旦出现上述问题，采购方不承担任何连带赔偿责任。</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、最低的磋商报价是成交的重要条件，但不是成交的唯一条件。</w:t>
      </w:r>
    </w:p>
    <w:p>
      <w:pPr>
        <w:snapToGrid w:val="0"/>
        <w:spacing w:line="480" w:lineRule="exact"/>
        <w:ind w:firstLine="496" w:firstLineChars="206"/>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七、联合体参与磋商</w:t>
      </w:r>
    </w:p>
    <w:p>
      <w:pPr>
        <w:snapToGrid w:val="0"/>
        <w:spacing w:line="480" w:lineRule="exact"/>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不接受任何形式的联合体参与本项目的竞争性磋商。</w:t>
      </w:r>
    </w:p>
    <w:p>
      <w:pPr>
        <w:snapToGrid w:val="0"/>
        <w:spacing w:line="480" w:lineRule="exact"/>
        <w:ind w:firstLine="482" w:firstLineChars="200"/>
        <w:outlineLvl w:val="1"/>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八、</w:t>
      </w:r>
      <w:r>
        <w:rPr>
          <w:rFonts w:hint="eastAsia" w:asciiTheme="minorEastAsia" w:hAnsiTheme="minorEastAsia" w:eastAsiaTheme="minorEastAsia" w:cstheme="minorEastAsia"/>
          <w:b/>
          <w:bCs/>
          <w:sz w:val="24"/>
          <w:szCs w:val="24"/>
        </w:rPr>
        <w:t>磋商</w:t>
      </w:r>
      <w:r>
        <w:rPr>
          <w:rFonts w:hint="eastAsia" w:asciiTheme="minorEastAsia" w:hAnsiTheme="minorEastAsia" w:eastAsiaTheme="minorEastAsia" w:cstheme="minorEastAsia"/>
          <w:b/>
          <w:bCs/>
          <w:sz w:val="24"/>
          <w:szCs w:val="24"/>
          <w:lang w:val="zh-CN"/>
        </w:rPr>
        <w:t>保证金退还</w:t>
      </w:r>
    </w:p>
    <w:p>
      <w:pPr>
        <w:snapToGrid w:val="0"/>
        <w:spacing w:line="52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1、未成交的供应商的磋商保证金，当场退还，成交供应商的磋商保证金将在采购单位与成交供应商签订的合同生效后5个工作日内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予以退还（无息）。</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2、发生下列情况之一，磋商保证金将不予退还。</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kern w:val="0"/>
          <w:sz w:val="24"/>
          <w:szCs w:val="24"/>
        </w:rPr>
        <w:t>供应商在提交响应文件截止时间后撤回响应文件的；</w:t>
      </w:r>
    </w:p>
    <w:p>
      <w:pPr>
        <w:snapToGrid w:val="0"/>
        <w:spacing w:line="480" w:lineRule="exact"/>
        <w:ind w:firstLine="460" w:firstLineChars="19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kern w:val="0"/>
          <w:sz w:val="24"/>
          <w:szCs w:val="24"/>
        </w:rPr>
        <w:t>供应商在响应文件中提供虚假材料的；</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（3）除因不可抗力或磋商文件认可的情形以外，</w:t>
      </w:r>
      <w:r>
        <w:rPr>
          <w:rFonts w:hint="eastAsia" w:asciiTheme="minorEastAsia" w:hAnsiTheme="minorEastAsia" w:eastAsiaTheme="minorEastAsia" w:cstheme="minorEastAsia"/>
          <w:bCs/>
          <w:sz w:val="24"/>
          <w:szCs w:val="24"/>
        </w:rPr>
        <w:t>中标人</w:t>
      </w:r>
      <w:r>
        <w:rPr>
          <w:rFonts w:hint="eastAsia" w:asciiTheme="minorEastAsia" w:hAnsiTheme="minorEastAsia" w:eastAsiaTheme="minorEastAsia" w:cstheme="minorEastAsia"/>
          <w:sz w:val="24"/>
          <w:szCs w:val="24"/>
        </w:rPr>
        <w:t xml:space="preserve">不按规定缴纳履约保证金或不与采购单位签订合同的； </w:t>
      </w:r>
    </w:p>
    <w:p>
      <w:pPr>
        <w:snapToGrid w:val="0"/>
        <w:spacing w:line="480" w:lineRule="exact"/>
        <w:ind w:firstLine="460" w:firstLineChars="19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kern w:val="0"/>
          <w:sz w:val="24"/>
          <w:szCs w:val="24"/>
        </w:rPr>
        <w:t>供应商与采购单位、其他供应商或者代理机构恶意串通的；</w:t>
      </w:r>
    </w:p>
    <w:p>
      <w:pPr>
        <w:snapToGrid w:val="0"/>
        <w:spacing w:line="480" w:lineRule="exact"/>
        <w:ind w:firstLine="460" w:firstLineChars="19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（5）供应商在磋商过程中有违反有关法律法规的行为；</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（6）磋商文件规定的其他情形的。</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3、对于在磋商顺利开始后至开标结束前，根据磋商情况退出磋商的供应商，须以书面形式说明退出磋商的原因，经磋商小组同意可以退还其缴纳的磋商保证金。</w:t>
      </w:r>
    </w:p>
    <w:p>
      <w:pPr>
        <w:snapToGrid w:val="0"/>
        <w:spacing w:line="480" w:lineRule="exact"/>
        <w:ind w:firstLine="482"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九、响应文件及</w:t>
      </w:r>
      <w:r>
        <w:rPr>
          <w:rFonts w:hint="eastAsia" w:asciiTheme="minorEastAsia" w:hAnsiTheme="minorEastAsia" w:eastAsiaTheme="minorEastAsia" w:cstheme="minorEastAsia"/>
          <w:b/>
          <w:kern w:val="0"/>
          <w:sz w:val="24"/>
          <w:szCs w:val="24"/>
        </w:rPr>
        <w:t>磋商</w:t>
      </w:r>
      <w:r>
        <w:rPr>
          <w:rFonts w:hint="eastAsia" w:asciiTheme="minorEastAsia" w:hAnsiTheme="minorEastAsia" w:eastAsiaTheme="minorEastAsia" w:cstheme="minorEastAsia"/>
          <w:b/>
          <w:bCs/>
          <w:sz w:val="24"/>
          <w:szCs w:val="24"/>
        </w:rPr>
        <w:t>费用</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1、磋商文件每套售价300元（现金），在递交磋商响应文件的同时提交给招标代理机构。</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2、本项目招标代理服务费及评委费由成交供应商支付。招标代理服务费</w:t>
      </w:r>
      <w:r>
        <w:rPr>
          <w:rFonts w:hint="eastAsia" w:asciiTheme="minorEastAsia" w:hAnsiTheme="minorEastAsia" w:eastAsiaTheme="minorEastAsia" w:cstheme="minorEastAsia"/>
          <w:sz w:val="24"/>
          <w:szCs w:val="24"/>
          <w:lang w:val="en-US" w:eastAsia="zh-CN"/>
        </w:rPr>
        <w:t>2500</w:t>
      </w:r>
      <w:r>
        <w:rPr>
          <w:rFonts w:hint="eastAsia" w:asciiTheme="minorEastAsia" w:hAnsiTheme="minorEastAsia" w:eastAsiaTheme="minorEastAsia" w:cstheme="minorEastAsia"/>
          <w:sz w:val="24"/>
          <w:szCs w:val="24"/>
        </w:rPr>
        <w:t>元。评委费按实支付。</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3、磋商程序顺利进行后，除供应商的原件可退回外，其余所有的响应文件都将作为档案保存，不论成交与否，代理机构均不退回。</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4、无论磋商过程和结果如何，参加项目磋商的供应商自行承担与本次项目磋商有关的全部费用。</w:t>
      </w:r>
    </w:p>
    <w:p>
      <w:pPr>
        <w:snapToGrid w:val="0"/>
        <w:spacing w:line="360" w:lineRule="auto"/>
        <w:ind w:firstLine="207" w:firstLineChars="206"/>
        <w:outlineLvl w:val="1"/>
        <w:rPr>
          <w:rFonts w:hint="eastAsia" w:asciiTheme="minorEastAsia" w:hAnsiTheme="minorEastAsia" w:eastAsiaTheme="minorEastAsia" w:cstheme="minorEastAsia"/>
          <w:b/>
          <w:bCs/>
          <w:sz w:val="10"/>
          <w:szCs w:val="10"/>
        </w:rPr>
      </w:pPr>
    </w:p>
    <w:p>
      <w:pPr>
        <w:snapToGrid w:val="0"/>
        <w:spacing w:line="360" w:lineRule="auto"/>
        <w:ind w:firstLine="496" w:firstLineChars="206"/>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十、履约保证金</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1、本项目成交后的履约保证金</w:t>
      </w:r>
      <w:r>
        <w:rPr>
          <w:rFonts w:hint="eastAsia" w:asciiTheme="minorEastAsia" w:hAnsiTheme="minorEastAsia" w:eastAsiaTheme="minorEastAsia" w:cstheme="minorEastAsia"/>
          <w:sz w:val="24"/>
          <w:szCs w:val="24"/>
          <w:highlight w:val="none"/>
        </w:rPr>
        <w:t>为</w:t>
      </w:r>
      <w:r>
        <w:rPr>
          <w:rFonts w:hint="eastAsia" w:asciiTheme="minorEastAsia" w:hAnsiTheme="minorEastAsia" w:eastAsiaTheme="minorEastAsia" w:cstheme="minorEastAsia"/>
          <w:sz w:val="24"/>
          <w:szCs w:val="24"/>
          <w:highlight w:val="none"/>
          <w:lang w:eastAsia="zh-CN"/>
        </w:rPr>
        <w:t>合同总价的</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2、成交供应商的履约保证金须在成交通知书发出3日内汇入采购单位账户，成交供应商在成交通知书发出后</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日内与采购单位签订合同。超期或未有协商，则视为自动放弃成交资格。</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3、成交供应商在按要求保质保量的完成该项目后，采购单位凭成交供应商提交的申请，一次性无息退还该合同项目的履约保证金。</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pPr>
        <w:snapToGrid w:val="0"/>
        <w:spacing w:line="480" w:lineRule="exact"/>
        <w:ind w:firstLine="496" w:firstLineChars="206"/>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十一、未尽事宜</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按《中华人民共和国政府采购法》《政府采购竞争性磋商采购方式管理暂行办法》及其他有关法律法规的规定执行。</w:t>
      </w:r>
    </w:p>
    <w:p>
      <w:pPr>
        <w:pStyle w:val="3"/>
        <w:keepNext w:val="0"/>
        <w:keepLines w:val="0"/>
        <w:adjustRightInd w:val="0"/>
        <w:snapToGrid w:val="0"/>
        <w:spacing w:before="0" w:after="0" w:line="800" w:lineRule="exact"/>
        <w:jc w:val="center"/>
        <w:textAlignment w:val="baseline"/>
        <w:rPr>
          <w:rFonts w:hint="eastAsia" w:asciiTheme="minorEastAsia" w:hAnsiTheme="minorEastAsia" w:eastAsiaTheme="minorEastAsia" w:cstheme="minorEastAsia"/>
          <w:w w:val="80"/>
          <w:szCs w:val="44"/>
        </w:rPr>
      </w:pPr>
      <w:bookmarkStart w:id="0" w:name="_Toc432763305"/>
      <w:r>
        <w:rPr>
          <w:rFonts w:hint="eastAsia" w:asciiTheme="minorEastAsia" w:hAnsiTheme="minorEastAsia" w:eastAsiaTheme="minorEastAsia" w:cstheme="minorEastAsia"/>
          <w:w w:val="80"/>
          <w:szCs w:val="44"/>
        </w:rPr>
        <w:br w:type="page"/>
      </w:r>
      <w:r>
        <w:rPr>
          <w:rFonts w:hint="eastAsia" w:asciiTheme="minorEastAsia" w:hAnsiTheme="minorEastAsia" w:eastAsiaTheme="minorEastAsia" w:cstheme="minorEastAsia"/>
          <w:w w:val="80"/>
          <w:szCs w:val="44"/>
        </w:rPr>
        <w:t>第三章  项目需求</w:t>
      </w:r>
      <w:bookmarkEnd w:id="0"/>
    </w:p>
    <w:p>
      <w:pPr>
        <w:pStyle w:val="4"/>
        <w:pageBreakBefore w:val="0"/>
        <w:kinsoku/>
        <w:wordWrap/>
        <w:overflowPunct/>
        <w:topLinePunct w:val="0"/>
        <w:autoSpaceDE/>
        <w:autoSpaceDN/>
        <w:bidi w:val="0"/>
        <w:spacing w:before="0" w:after="0" w:line="360" w:lineRule="auto"/>
        <w:ind w:right="0" w:rightChars="0"/>
        <w:textAlignment w:val="auto"/>
        <w:rPr>
          <w:sz w:val="24"/>
          <w:szCs w:val="24"/>
        </w:rPr>
      </w:pPr>
      <w:r>
        <w:rPr>
          <w:rFonts w:hint="eastAsia"/>
          <w:sz w:val="24"/>
          <w:szCs w:val="24"/>
        </w:rPr>
        <w:t>一、内容及要求</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1、运维内容：</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南通市人民检察院智慧园区内机房运维服务、访问互联网的网络运维服务、工作网络的运维服务、涉密网络的运维服务和信息系统保障及UPS、精密空调维保。</w:t>
      </w:r>
      <w:r>
        <w:rPr>
          <w:rFonts w:asciiTheme="minorEastAsia" w:hAnsiTheme="minorEastAsia"/>
          <w:sz w:val="24"/>
          <w:szCs w:val="24"/>
        </w:rPr>
        <w:t xml:space="preserve"> </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2、投标人资格：</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具备有效期内的涉密信息系统集成资质（乙级或甲级）证书。</w:t>
      </w:r>
    </w:p>
    <w:p>
      <w:pPr>
        <w:pStyle w:val="5"/>
        <w:pageBreakBefore w:val="0"/>
        <w:kinsoku/>
        <w:wordWrap/>
        <w:overflowPunct/>
        <w:topLinePunct w:val="0"/>
        <w:autoSpaceDE/>
        <w:autoSpaceDN/>
        <w:bidi w:val="0"/>
        <w:spacing w:before="0" w:after="0" w:line="360" w:lineRule="auto"/>
        <w:ind w:right="0" w:rightChars="0"/>
        <w:textAlignment w:val="auto"/>
        <w:rPr>
          <w:sz w:val="24"/>
          <w:szCs w:val="24"/>
        </w:rPr>
      </w:pPr>
      <w:r>
        <w:rPr>
          <w:rFonts w:hint="eastAsia"/>
          <w:sz w:val="24"/>
          <w:szCs w:val="24"/>
        </w:rPr>
        <w:t>1.1机房运维服务</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1、气体消防日常巡检服务</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日常巡检气体消防系统的运行状态，包括温感、烟感状态，并定期出具日常巡检报告。</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2、机房环境监控系统日常巡检服务</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机房环境监控系统的可达性、可用性监控，设置环境监控系统的合理阀值，对各类系统出具监测数据，以环境监控系统与设备阀值作比对，判断系统运行状态。</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3、机房内部设备线路的调整服务</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机房内部设备线路的调整与管理，新设备上架、设备位置调整，对应的线路需要进行快速、准确地调整，从而实现设备线路的管理。</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4、机房设备摆放规划与落实</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新设备上架、设备的位置调整，根据要求进行设备布局图的调整，调整完毕后，进行设备的摆放，确保设备摆放的合理性。</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5、机房设备线路标签标识与更新</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对于机房内的设备，包括端口、配线架、跳线、干线等，进行详细的编码，对于老旧标签、更换标签进行标识与更新，确保信息与实际情况同步。</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6、机房运行日志的汇总与分析</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对机房所有的信息进行月度汇总评估机房月度运行状态，并出具运行报告。</w:t>
      </w:r>
    </w:p>
    <w:p>
      <w:pPr>
        <w:pStyle w:val="5"/>
        <w:pageBreakBefore w:val="0"/>
        <w:kinsoku/>
        <w:wordWrap/>
        <w:overflowPunct/>
        <w:topLinePunct w:val="0"/>
        <w:autoSpaceDE/>
        <w:autoSpaceDN/>
        <w:bidi w:val="0"/>
        <w:spacing w:before="0" w:after="0" w:line="360" w:lineRule="auto"/>
        <w:ind w:right="0" w:rightChars="0"/>
        <w:textAlignment w:val="auto"/>
        <w:rPr>
          <w:sz w:val="24"/>
          <w:szCs w:val="24"/>
        </w:rPr>
      </w:pPr>
      <w:r>
        <w:rPr>
          <w:rFonts w:hint="eastAsia"/>
          <w:sz w:val="24"/>
          <w:szCs w:val="24"/>
        </w:rPr>
        <w:t>1.2访问互联网的网络运维服务</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1、网络设备的常规巡检</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对机房互联网骨干设备、汇聚设备、接入设备的常规巡检。</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2、重要应用系统巡检</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对互联网部署的应用进行可达性、可用性的常规巡检。</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3、新系统上线集成</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bCs/>
          <w:sz w:val="24"/>
          <w:szCs w:val="24"/>
        </w:rPr>
      </w:pPr>
      <w:r>
        <w:rPr>
          <w:rFonts w:hint="eastAsia" w:asciiTheme="minorEastAsia" w:hAnsiTheme="minorEastAsia"/>
          <w:bCs/>
          <w:sz w:val="24"/>
          <w:szCs w:val="24"/>
        </w:rPr>
        <w:t>对于以后新的应用系统部署，提供部署基础，包括IP规划全策略部署等的集成。</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4、应用系统网络调整</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根据信息化的发展，进行应用系统网络的调整部署。</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5、网络故障排除</w:t>
      </w:r>
    </w:p>
    <w:p>
      <w:pPr>
        <w:pageBreakBefore w:val="0"/>
        <w:kinsoku/>
        <w:wordWrap/>
        <w:overflowPunct/>
        <w:topLinePunct w:val="0"/>
        <w:autoSpaceDE/>
        <w:autoSpaceDN/>
        <w:bidi w:val="0"/>
        <w:spacing w:line="360" w:lineRule="auto"/>
        <w:ind w:left="561" w:leftChars="267" w:right="0" w:rightChars="0"/>
        <w:textAlignment w:val="auto"/>
        <w:rPr>
          <w:rFonts w:asciiTheme="minorEastAsia" w:hAnsiTheme="minorEastAsia"/>
          <w:sz w:val="24"/>
          <w:szCs w:val="24"/>
        </w:rPr>
      </w:pPr>
      <w:r>
        <w:rPr>
          <w:rFonts w:hint="eastAsia" w:asciiTheme="minorEastAsia" w:hAnsiTheme="minorEastAsia"/>
          <w:bCs/>
          <w:sz w:val="24"/>
          <w:szCs w:val="24"/>
        </w:rPr>
        <w:t>对于网络故障排除，包括故障定位、故障原因分析、故障排除等。</w:t>
      </w:r>
      <w:r>
        <w:rPr>
          <w:rFonts w:hint="eastAsia" w:asciiTheme="minorEastAsia" w:hAnsiTheme="minorEastAsia"/>
          <w:sz w:val="24"/>
          <w:szCs w:val="24"/>
        </w:rPr>
        <w:t>6、安全系统的日常维护和管理</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对于互联网安全设备、防病毒系统、客户端管理系统的日常维护和管理</w:t>
      </w:r>
    </w:p>
    <w:p>
      <w:pPr>
        <w:pStyle w:val="5"/>
        <w:pageBreakBefore w:val="0"/>
        <w:kinsoku/>
        <w:wordWrap/>
        <w:overflowPunct/>
        <w:topLinePunct w:val="0"/>
        <w:autoSpaceDE/>
        <w:autoSpaceDN/>
        <w:bidi w:val="0"/>
        <w:spacing w:before="0" w:after="0" w:line="360" w:lineRule="auto"/>
        <w:ind w:right="0" w:rightChars="0"/>
        <w:textAlignment w:val="auto"/>
        <w:rPr>
          <w:sz w:val="24"/>
          <w:szCs w:val="24"/>
        </w:rPr>
      </w:pPr>
      <w:r>
        <w:rPr>
          <w:rFonts w:hint="eastAsia"/>
          <w:sz w:val="24"/>
          <w:szCs w:val="24"/>
        </w:rPr>
        <w:t>1.3工作网络的运维服务</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1、工作网络网络设备的常规巡检</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对机房工作网络骨干设备、汇聚设备、接入设备的常规巡检。</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2、重要应用系统巡检</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对工作网络部署的应用进行可达性、可用性的常规巡检。</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3、新系统上线集成</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bCs/>
          <w:sz w:val="24"/>
          <w:szCs w:val="24"/>
        </w:rPr>
      </w:pPr>
      <w:r>
        <w:rPr>
          <w:rFonts w:hint="eastAsia" w:asciiTheme="minorEastAsia" w:hAnsiTheme="minorEastAsia"/>
          <w:bCs/>
          <w:sz w:val="24"/>
          <w:szCs w:val="24"/>
        </w:rPr>
        <w:t>对于以后新的应用系统部署，提供部署基础，包括IP规划全策略部署等的集成。</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4、应用系统网络调整</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根据信息化的发展，进行应用系统网络的调整部署。</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5、网络故障排除</w:t>
      </w:r>
    </w:p>
    <w:p>
      <w:pPr>
        <w:pageBreakBefore w:val="0"/>
        <w:kinsoku/>
        <w:wordWrap/>
        <w:overflowPunct/>
        <w:topLinePunct w:val="0"/>
        <w:autoSpaceDE/>
        <w:autoSpaceDN/>
        <w:bidi w:val="0"/>
        <w:spacing w:line="360" w:lineRule="auto"/>
        <w:ind w:left="561" w:leftChars="267" w:right="0" w:rightChars="0"/>
        <w:textAlignment w:val="auto"/>
        <w:rPr>
          <w:rFonts w:asciiTheme="minorEastAsia" w:hAnsiTheme="minorEastAsia"/>
          <w:sz w:val="24"/>
          <w:szCs w:val="24"/>
        </w:rPr>
      </w:pPr>
      <w:r>
        <w:rPr>
          <w:rFonts w:hint="eastAsia" w:asciiTheme="minorEastAsia" w:hAnsiTheme="minorEastAsia"/>
          <w:bCs/>
          <w:sz w:val="24"/>
          <w:szCs w:val="24"/>
        </w:rPr>
        <w:t>对于网络故障排除，包括故障定位、故障原因分析、故障排除等。</w:t>
      </w:r>
      <w:r>
        <w:rPr>
          <w:rFonts w:hint="eastAsia" w:asciiTheme="minorEastAsia" w:hAnsiTheme="minorEastAsia"/>
          <w:sz w:val="24"/>
          <w:szCs w:val="24"/>
        </w:rPr>
        <w:t>6、安全系统的日常维护和管理</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对于工作网络安全设备、防病毒系统、客户端管理系统的日常维护和管理</w:t>
      </w:r>
    </w:p>
    <w:p>
      <w:pPr>
        <w:pStyle w:val="5"/>
        <w:pageBreakBefore w:val="0"/>
        <w:kinsoku/>
        <w:wordWrap/>
        <w:overflowPunct/>
        <w:topLinePunct w:val="0"/>
        <w:autoSpaceDE/>
        <w:autoSpaceDN/>
        <w:bidi w:val="0"/>
        <w:spacing w:before="0" w:after="0" w:line="360" w:lineRule="auto"/>
        <w:ind w:right="0" w:rightChars="0"/>
        <w:textAlignment w:val="auto"/>
        <w:rPr>
          <w:sz w:val="24"/>
          <w:szCs w:val="24"/>
        </w:rPr>
      </w:pPr>
      <w:r>
        <w:rPr>
          <w:rFonts w:hint="eastAsia"/>
          <w:sz w:val="24"/>
          <w:szCs w:val="24"/>
        </w:rPr>
        <w:t>1.4涉密网络的运维服务</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1、涉密网络设备的常规巡检</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对机房工作网络骨干设备、汇聚设备、接入设备的常规巡检。</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2、</w:t>
      </w:r>
      <w:r>
        <w:rPr>
          <w:rFonts w:hint="eastAsia" w:asciiTheme="minorEastAsia" w:hAnsiTheme="minorEastAsia"/>
          <w:bCs/>
          <w:sz w:val="24"/>
          <w:szCs w:val="24"/>
        </w:rPr>
        <w:t>应用系统可用性检测</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对涉密网络部署的应用进行定期可达性、可用性的常规巡检测试。</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3、新系统上线集成</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bCs/>
          <w:sz w:val="24"/>
          <w:szCs w:val="24"/>
        </w:rPr>
      </w:pPr>
      <w:r>
        <w:rPr>
          <w:rFonts w:hint="eastAsia" w:asciiTheme="minorEastAsia" w:hAnsiTheme="minorEastAsia"/>
          <w:bCs/>
          <w:sz w:val="24"/>
          <w:szCs w:val="24"/>
        </w:rPr>
        <w:t>对于以后新的应用系统部署，提供部署基础，包括IP规划全策略部署等的集成。</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5、网络故障排除</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bCs/>
          <w:sz w:val="24"/>
          <w:szCs w:val="24"/>
        </w:rPr>
        <w:t>对于网络故障排除，包括故障定位、故障原因分析、故障排除等。</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6、安全系统的日常维护和管理</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对于工作网络安全设备、防病毒系统、客户端管理系统的日常维护和管理</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sz w:val="24"/>
          <w:szCs w:val="24"/>
        </w:rPr>
      </w:pPr>
      <w:r>
        <w:rPr>
          <w:rFonts w:hint="eastAsia" w:ascii="宋体" w:hAnsi="宋体"/>
          <w:sz w:val="24"/>
          <w:szCs w:val="24"/>
        </w:rPr>
        <w:t>7、设备</w:t>
      </w:r>
      <w:r>
        <w:rPr>
          <w:rFonts w:ascii="宋体" w:hAnsi="宋体"/>
          <w:sz w:val="24"/>
          <w:szCs w:val="24"/>
        </w:rPr>
        <w:t>配置</w:t>
      </w:r>
      <w:r>
        <w:rPr>
          <w:rFonts w:hint="eastAsia" w:ascii="宋体" w:hAnsi="宋体"/>
          <w:sz w:val="24"/>
          <w:szCs w:val="24"/>
        </w:rPr>
        <w:t>备份</w:t>
      </w:r>
      <w:r>
        <w:rPr>
          <w:rFonts w:ascii="宋体" w:hAnsi="宋体"/>
          <w:sz w:val="24"/>
          <w:szCs w:val="24"/>
        </w:rPr>
        <w:t>工作</w:t>
      </w:r>
    </w:p>
    <w:p>
      <w:pPr>
        <w:pageBreakBefore w:val="0"/>
        <w:kinsoku/>
        <w:wordWrap/>
        <w:overflowPunct/>
        <w:topLinePunct w:val="0"/>
        <w:autoSpaceDE/>
        <w:autoSpaceDN/>
        <w:bidi w:val="0"/>
        <w:spacing w:line="360" w:lineRule="auto"/>
        <w:ind w:right="0" w:rightChars="0" w:firstLine="480" w:firstLineChars="200"/>
        <w:textAlignment w:val="auto"/>
        <w:rPr>
          <w:rFonts w:asciiTheme="minorEastAsia" w:hAnsiTheme="minorEastAsia"/>
          <w:sz w:val="24"/>
          <w:szCs w:val="24"/>
        </w:rPr>
      </w:pPr>
      <w:r>
        <w:rPr>
          <w:rFonts w:hint="eastAsia" w:asciiTheme="minorEastAsia" w:hAnsiTheme="minorEastAsia"/>
          <w:sz w:val="24"/>
          <w:szCs w:val="24"/>
        </w:rPr>
        <w:t>定期针对机房涉密网络中的网络设备（路由器、交换机、防火墙等）进行配置备份。</w:t>
      </w:r>
    </w:p>
    <w:p>
      <w:pPr>
        <w:pStyle w:val="5"/>
        <w:pageBreakBefore w:val="0"/>
        <w:kinsoku/>
        <w:wordWrap/>
        <w:overflowPunct/>
        <w:topLinePunct w:val="0"/>
        <w:autoSpaceDE/>
        <w:autoSpaceDN/>
        <w:bidi w:val="0"/>
        <w:spacing w:before="0" w:after="0" w:line="360" w:lineRule="auto"/>
        <w:ind w:right="0" w:rightChars="0"/>
        <w:textAlignment w:val="auto"/>
        <w:rPr>
          <w:sz w:val="24"/>
          <w:szCs w:val="24"/>
        </w:rPr>
      </w:pPr>
      <w:bookmarkStart w:id="1" w:name="_Toc528324981"/>
      <w:r>
        <w:rPr>
          <w:rFonts w:hint="eastAsia"/>
          <w:sz w:val="24"/>
          <w:szCs w:val="24"/>
        </w:rPr>
        <w:t>1.5机房UPS系统及精密空调系统的维保服务</w:t>
      </w:r>
    </w:p>
    <w:p>
      <w:pPr>
        <w:pStyle w:val="6"/>
        <w:pageBreakBefore w:val="0"/>
        <w:kinsoku/>
        <w:wordWrap/>
        <w:overflowPunct/>
        <w:topLinePunct w:val="0"/>
        <w:autoSpaceDE/>
        <w:autoSpaceDN/>
        <w:bidi w:val="0"/>
        <w:spacing w:before="0" w:after="0" w:line="360" w:lineRule="auto"/>
        <w:ind w:right="0" w:rightChars="0"/>
        <w:textAlignment w:val="auto"/>
        <w:rPr>
          <w:sz w:val="24"/>
          <w:szCs w:val="24"/>
        </w:rPr>
      </w:pPr>
      <w:r>
        <w:rPr>
          <w:rFonts w:hint="eastAsia"/>
          <w:sz w:val="24"/>
          <w:szCs w:val="24"/>
        </w:rPr>
        <w:t>1.5.1</w:t>
      </w:r>
      <w:r>
        <w:rPr>
          <w:rFonts w:hint="eastAsia" w:cstheme="minorBidi"/>
          <w:sz w:val="24"/>
          <w:szCs w:val="24"/>
        </w:rPr>
        <w:t>机房UPS系统的</w:t>
      </w:r>
      <w:bookmarkEnd w:id="1"/>
      <w:r>
        <w:rPr>
          <w:rFonts w:hint="eastAsia"/>
          <w:sz w:val="24"/>
          <w:szCs w:val="24"/>
        </w:rPr>
        <w:t>维保服务</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hint="eastAsia" w:ascii="宋体" w:hAnsi="宋体" w:cs="Lucida Sans Unicode"/>
          <w:sz w:val="24"/>
          <w:szCs w:val="24"/>
        </w:rPr>
        <w:t>机房内有3台品牌为“艾默生”，型号为“EPM100KVA</w:t>
      </w:r>
      <w:r>
        <w:rPr>
          <w:rFonts w:ascii="宋体" w:hAnsi="宋体" w:cs="Lucida Sans Unicode"/>
          <w:sz w:val="24"/>
          <w:szCs w:val="24"/>
        </w:rPr>
        <w:t>”</w:t>
      </w:r>
      <w:r>
        <w:rPr>
          <w:rFonts w:hint="eastAsia" w:ascii="宋体" w:hAnsi="宋体" w:cs="Lucida Sans Unicode"/>
          <w:sz w:val="24"/>
          <w:szCs w:val="24"/>
        </w:rPr>
        <w:t>的U</w:t>
      </w:r>
      <w:r>
        <w:rPr>
          <w:rFonts w:ascii="宋体" w:hAnsi="宋体" w:cs="Lucida Sans Unicode"/>
          <w:sz w:val="24"/>
          <w:szCs w:val="24"/>
        </w:rPr>
        <w:t>PS</w:t>
      </w:r>
      <w:r>
        <w:rPr>
          <w:rFonts w:hint="eastAsia" w:ascii="宋体" w:hAnsi="宋体" w:cs="Lucida Sans Unicode"/>
          <w:sz w:val="24"/>
          <w:szCs w:val="24"/>
        </w:rPr>
        <w:t>设备。科学的使用和维护不仅可以使UPS正常稳定的运行更可以延长UPS的使用寿命。服务内容如下：</w:t>
      </w:r>
      <w:r>
        <w:rPr>
          <w:rFonts w:ascii="宋体" w:hAnsi="宋体" w:cs="Calibri"/>
          <w:sz w:val="24"/>
          <w:szCs w:val="24"/>
        </w:rPr>
        <w:t> </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bookmarkStart w:id="2" w:name="_Toc234210433"/>
      <w:r>
        <w:rPr>
          <w:rFonts w:hint="eastAsia" w:ascii="宋体" w:hAnsi="宋体" w:cs="Lucida Sans Unicode"/>
          <w:sz w:val="24"/>
          <w:szCs w:val="24"/>
        </w:rPr>
        <w:t>1.UPS维保期服务</w:t>
      </w:r>
      <w:bookmarkEnd w:id="2"/>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hint="eastAsia" w:ascii="宋体" w:hAnsi="宋体" w:cs="Lucida Sans Unicode"/>
          <w:sz w:val="24"/>
          <w:szCs w:val="24"/>
        </w:rPr>
        <w:t>在UPS保修期，全方位维护制定服务计划，为设备提供维修服务，全面保障设备的高可靠性和延续性。尤其经过相当运行时间或受到周边运行环境变化影响的设备，因较容易出现老化和磨损现象，对日常的预防性维护和可靠而迅速的技术支持。</w:t>
      </w:r>
      <w:bookmarkStart w:id="3" w:name="_Toc234210434"/>
      <w:bookmarkStart w:id="4" w:name="_Toc35828658"/>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hint="eastAsia" w:ascii="宋体" w:hAnsi="宋体" w:cs="Lucida Sans Unicode"/>
          <w:sz w:val="24"/>
          <w:szCs w:val="24"/>
        </w:rPr>
        <w:t>2.UPS维护内容包括:</w:t>
      </w:r>
      <w:bookmarkEnd w:id="3"/>
    </w:p>
    <w:p>
      <w:pPr>
        <w:pageBreakBefore w:val="0"/>
        <w:tabs>
          <w:tab w:val="left" w:pos="0"/>
        </w:tabs>
        <w:kinsoku/>
        <w:wordWrap/>
        <w:overflowPunct/>
        <w:topLinePunct w:val="0"/>
        <w:autoSpaceDE/>
        <w:autoSpaceDN/>
        <w:bidi w:val="0"/>
        <w:spacing w:line="360" w:lineRule="auto"/>
        <w:ind w:right="0" w:rightChars="0"/>
        <w:textAlignment w:val="auto"/>
        <w:rPr>
          <w:rFonts w:ascii="宋体" w:hAnsi="宋体" w:cs="Lucida Sans Unicode"/>
          <w:sz w:val="24"/>
          <w:szCs w:val="24"/>
        </w:rPr>
      </w:pPr>
      <w:r>
        <w:rPr>
          <w:rFonts w:ascii="宋体" w:hAnsi="宋体" w:cs="Lucida Sans Unicode"/>
          <w:sz w:val="24"/>
          <w:szCs w:val="24"/>
        </w:rPr>
        <w:tab/>
      </w:r>
      <w:r>
        <w:rPr>
          <w:rFonts w:ascii="宋体" w:hAnsi="宋体" w:cs="Lucida Sans Unicode"/>
          <w:sz w:val="24"/>
          <w:szCs w:val="24"/>
        </w:rPr>
        <w:t>1</w:t>
      </w:r>
      <w:r>
        <w:rPr>
          <w:rFonts w:hint="eastAsia" w:ascii="宋体" w:hAnsi="宋体" w:cs="Lucida Sans Unicode"/>
          <w:sz w:val="24"/>
          <w:szCs w:val="24"/>
        </w:rPr>
        <w:t>）</w:t>
      </w:r>
      <w:r>
        <w:rPr>
          <w:rFonts w:ascii="宋体" w:hAnsi="宋体" w:cs="Lucida Sans Unicode"/>
          <w:sz w:val="24"/>
          <w:szCs w:val="24"/>
        </w:rPr>
        <w:t>电池的保养</w:t>
      </w:r>
      <w:r>
        <w:rPr>
          <w:rFonts w:hint="eastAsia" w:ascii="宋体" w:hAnsi="宋体" w:cs="Lucida Sans Unicode"/>
          <w:sz w:val="24"/>
          <w:szCs w:val="24"/>
        </w:rPr>
        <w:t>：</w:t>
      </w:r>
      <w:r>
        <w:rPr>
          <w:rFonts w:ascii="宋体" w:hAnsi="宋体" w:cs="Lucida Sans Unicode"/>
          <w:sz w:val="24"/>
          <w:szCs w:val="24"/>
        </w:rPr>
        <w:t>对电池组中的电池做静态,动态测试</w:t>
      </w:r>
      <w:r>
        <w:rPr>
          <w:rFonts w:hint="eastAsia" w:ascii="宋体" w:hAnsi="宋体" w:cs="Lucida Sans Unicode"/>
          <w:sz w:val="24"/>
          <w:szCs w:val="24"/>
        </w:rPr>
        <w:t>、</w:t>
      </w:r>
      <w:r>
        <w:rPr>
          <w:rFonts w:ascii="宋体" w:hAnsi="宋体" w:cs="Lucida Sans Unicode"/>
          <w:sz w:val="24"/>
          <w:szCs w:val="24"/>
        </w:rPr>
        <w:t>对电池组的联接进行检查</w:t>
      </w:r>
    </w:p>
    <w:p>
      <w:pPr>
        <w:pageBreakBefore w:val="0"/>
        <w:tabs>
          <w:tab w:val="left" w:pos="0"/>
        </w:tabs>
        <w:kinsoku/>
        <w:wordWrap/>
        <w:overflowPunct/>
        <w:topLinePunct w:val="0"/>
        <w:autoSpaceDE/>
        <w:autoSpaceDN/>
        <w:bidi w:val="0"/>
        <w:spacing w:line="360" w:lineRule="auto"/>
        <w:ind w:right="0" w:rightChars="0"/>
        <w:textAlignment w:val="auto"/>
        <w:rPr>
          <w:rFonts w:ascii="宋体" w:hAnsi="宋体" w:cs="Lucida Sans Unicode"/>
          <w:sz w:val="24"/>
          <w:szCs w:val="24"/>
        </w:rPr>
      </w:pPr>
      <w:r>
        <w:rPr>
          <w:rFonts w:ascii="宋体" w:hAnsi="宋体" w:cs="Lucida Sans Unicode"/>
          <w:sz w:val="24"/>
          <w:szCs w:val="24"/>
        </w:rPr>
        <w:tab/>
      </w:r>
      <w:r>
        <w:rPr>
          <w:rFonts w:ascii="宋体" w:hAnsi="宋体" w:cs="Lucida Sans Unicode"/>
          <w:sz w:val="24"/>
          <w:szCs w:val="24"/>
        </w:rPr>
        <w:t>2</w:t>
      </w:r>
      <w:r>
        <w:rPr>
          <w:rFonts w:hint="eastAsia" w:ascii="宋体" w:hAnsi="宋体" w:cs="Lucida Sans Unicode"/>
          <w:sz w:val="24"/>
          <w:szCs w:val="24"/>
        </w:rPr>
        <w:t>）</w:t>
      </w:r>
      <w:r>
        <w:rPr>
          <w:rFonts w:ascii="宋体" w:hAnsi="宋体" w:cs="Lucida Sans Unicode"/>
          <w:sz w:val="24"/>
          <w:szCs w:val="24"/>
        </w:rPr>
        <w:t>电池在UPS机上放电测试</w:t>
      </w:r>
    </w:p>
    <w:p>
      <w:pPr>
        <w:pageBreakBefore w:val="0"/>
        <w:tabs>
          <w:tab w:val="left" w:pos="0"/>
        </w:tabs>
        <w:kinsoku/>
        <w:wordWrap/>
        <w:overflowPunct/>
        <w:topLinePunct w:val="0"/>
        <w:autoSpaceDE/>
        <w:autoSpaceDN/>
        <w:bidi w:val="0"/>
        <w:spacing w:line="360" w:lineRule="auto"/>
        <w:ind w:right="0" w:rightChars="0"/>
        <w:textAlignment w:val="auto"/>
        <w:rPr>
          <w:rFonts w:ascii="宋体" w:hAnsi="宋体" w:cs="Lucida Sans Unicode"/>
          <w:sz w:val="24"/>
          <w:szCs w:val="24"/>
        </w:rPr>
      </w:pPr>
      <w:r>
        <w:rPr>
          <w:rFonts w:ascii="宋体" w:hAnsi="宋体" w:cs="Lucida Sans Unicode"/>
          <w:sz w:val="24"/>
          <w:szCs w:val="24"/>
        </w:rPr>
        <w:tab/>
      </w:r>
      <w:r>
        <w:rPr>
          <w:rFonts w:ascii="宋体" w:hAnsi="宋体" w:cs="Lucida Sans Unicode"/>
          <w:sz w:val="24"/>
          <w:szCs w:val="24"/>
        </w:rPr>
        <w:t>3</w:t>
      </w:r>
      <w:r>
        <w:rPr>
          <w:rFonts w:hint="eastAsia" w:ascii="宋体" w:hAnsi="宋体" w:cs="Lucida Sans Unicode"/>
          <w:sz w:val="24"/>
          <w:szCs w:val="24"/>
        </w:rPr>
        <w:t>）</w:t>
      </w:r>
      <w:r>
        <w:rPr>
          <w:rFonts w:ascii="宋体" w:hAnsi="宋体" w:cs="Lucida Sans Unicode"/>
          <w:sz w:val="24"/>
          <w:szCs w:val="24"/>
        </w:rPr>
        <w:t>主机保养</w:t>
      </w:r>
      <w:r>
        <w:rPr>
          <w:rFonts w:hint="eastAsia" w:ascii="宋体" w:hAnsi="宋体" w:cs="Lucida Sans Unicode"/>
          <w:sz w:val="24"/>
          <w:szCs w:val="24"/>
        </w:rPr>
        <w:t>：</w:t>
      </w:r>
      <w:r>
        <w:rPr>
          <w:rFonts w:ascii="宋体" w:hAnsi="宋体" w:cs="Lucida Sans Unicode"/>
          <w:sz w:val="24"/>
          <w:szCs w:val="24"/>
        </w:rPr>
        <w:t>A. 检查设备的运行状况；B. 对需要进行清扫的机器进行除尘清扫；C. 对设备内主要部件进行静态测试；D. 检测机内易损单元(逆变器, 整流器, 静态开关)；E. 检查设备的输入, 输出联接端子是否牢固；F. 恢复设备运行, 检测设备的输出主要性能指针。</w:t>
      </w:r>
    </w:p>
    <w:bookmarkEnd w:id="4"/>
    <w:p>
      <w:pPr>
        <w:pStyle w:val="6"/>
        <w:pageBreakBefore w:val="0"/>
        <w:kinsoku/>
        <w:wordWrap/>
        <w:overflowPunct/>
        <w:topLinePunct w:val="0"/>
        <w:autoSpaceDE/>
        <w:autoSpaceDN/>
        <w:bidi w:val="0"/>
        <w:spacing w:before="0" w:after="0" w:line="360" w:lineRule="auto"/>
        <w:ind w:right="0" w:rightChars="0"/>
        <w:textAlignment w:val="auto"/>
        <w:rPr>
          <w:sz w:val="24"/>
          <w:szCs w:val="24"/>
        </w:rPr>
      </w:pPr>
      <w:bookmarkStart w:id="5" w:name="_Toc528324982"/>
      <w:bookmarkStart w:id="6" w:name="_Toc207599296"/>
      <w:r>
        <w:rPr>
          <w:rFonts w:hint="eastAsia"/>
          <w:sz w:val="24"/>
          <w:szCs w:val="24"/>
        </w:rPr>
        <w:t>1.5.2机房精密空调系统的</w:t>
      </w:r>
      <w:bookmarkEnd w:id="5"/>
      <w:bookmarkEnd w:id="6"/>
      <w:r>
        <w:rPr>
          <w:rFonts w:hint="eastAsia"/>
          <w:sz w:val="24"/>
          <w:szCs w:val="24"/>
        </w:rPr>
        <w:t>运维服务</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hint="eastAsia" w:ascii="宋体" w:hAnsi="宋体" w:cs="Lucida Sans Unicode"/>
          <w:sz w:val="24"/>
          <w:szCs w:val="24"/>
        </w:rPr>
        <w:t>机房共有2台品牌为“艾默生</w:t>
      </w:r>
      <w:r>
        <w:rPr>
          <w:rFonts w:ascii="宋体" w:hAnsi="宋体" w:cs="Lucida Sans Unicode"/>
          <w:sz w:val="24"/>
          <w:szCs w:val="24"/>
        </w:rPr>
        <w:t>”</w:t>
      </w:r>
      <w:r>
        <w:rPr>
          <w:rFonts w:hint="eastAsia" w:ascii="宋体" w:hAnsi="宋体" w:cs="Lucida Sans Unicode"/>
          <w:sz w:val="24"/>
          <w:szCs w:val="24"/>
        </w:rPr>
        <w:t>型号为“CRO25RA</w:t>
      </w:r>
      <w:r>
        <w:rPr>
          <w:rFonts w:ascii="宋体" w:hAnsi="宋体" w:cs="Lucida Sans Unicode"/>
          <w:sz w:val="24"/>
          <w:szCs w:val="24"/>
        </w:rPr>
        <w:t>”</w:t>
      </w:r>
      <w:r>
        <w:rPr>
          <w:rFonts w:hint="eastAsia" w:ascii="宋体" w:hAnsi="宋体" w:cs="Lucida Sans Unicode"/>
          <w:sz w:val="24"/>
          <w:szCs w:val="24"/>
        </w:rPr>
        <w:t>的行间精密空调和1台品牌为“艾默生 ”型号为“P1030UA</w:t>
      </w:r>
      <w:r>
        <w:rPr>
          <w:rFonts w:ascii="宋体" w:hAnsi="宋体" w:cs="Lucida Sans Unicode"/>
          <w:sz w:val="24"/>
          <w:szCs w:val="24"/>
        </w:rPr>
        <w:t>”</w:t>
      </w:r>
      <w:r>
        <w:rPr>
          <w:rFonts w:hint="eastAsia" w:ascii="宋体" w:hAnsi="宋体" w:cs="Lucida Sans Unicode"/>
          <w:sz w:val="24"/>
          <w:szCs w:val="24"/>
        </w:rPr>
        <w:t>的精密空调。科学的使用和维护不仅可以使机房精密空调正常稳定的运行更可以延长机房精密空调的使用寿命，服务内容如下：</w:t>
      </w:r>
      <w:r>
        <w:rPr>
          <w:rFonts w:ascii="宋体" w:hAnsi="宋体" w:cs="Calibri"/>
          <w:sz w:val="24"/>
          <w:szCs w:val="24"/>
        </w:rPr>
        <w:t> </w:t>
      </w:r>
    </w:p>
    <w:p>
      <w:pPr>
        <w:pageBreakBefore w:val="0"/>
        <w:kinsoku/>
        <w:wordWrap/>
        <w:overflowPunct/>
        <w:topLinePunct w:val="0"/>
        <w:autoSpaceDE/>
        <w:autoSpaceDN/>
        <w:bidi w:val="0"/>
        <w:spacing w:line="360" w:lineRule="auto"/>
        <w:ind w:right="0" w:rightChars="0" w:firstLine="420"/>
        <w:textAlignment w:val="auto"/>
        <w:rPr>
          <w:rFonts w:ascii="宋体" w:hAnsi="宋体" w:cs="Lucida Sans Unicode"/>
          <w:b/>
          <w:sz w:val="24"/>
          <w:szCs w:val="24"/>
        </w:rPr>
      </w:pPr>
      <w:r>
        <w:rPr>
          <w:rFonts w:hint="eastAsia" w:ascii="宋体" w:hAnsi="宋体" w:cs="Lucida Sans Unicode"/>
          <w:b/>
          <w:sz w:val="24"/>
          <w:szCs w:val="24"/>
        </w:rPr>
        <w:t>日常维护的主要内容</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color w:val="FF0000"/>
          <w:sz w:val="24"/>
          <w:szCs w:val="24"/>
        </w:rPr>
      </w:pPr>
      <w:r>
        <w:rPr>
          <w:rFonts w:hint="eastAsia" w:ascii="宋体" w:hAnsi="宋体" w:cs="Lucida Sans Unicode"/>
          <w:sz w:val="24"/>
          <w:szCs w:val="24"/>
        </w:rPr>
        <w:t>1）测量压缩机吸气及排气压力；检查压缩机回气过热度；检查压缩机工作电流是否在正常范围内；调整室外机冷凝器过冷度；检查室外机冷凝器调速器工作情况，调整工作点；检查所有排水管道和进水管道是否堵塞。</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hint="eastAsia" w:ascii="宋体" w:hAnsi="宋体" w:cs="Lucida Sans Unicode"/>
          <w:sz w:val="24"/>
          <w:szCs w:val="24"/>
        </w:rPr>
        <w:t>2）空气过滤器的清洗</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hint="eastAsia" w:ascii="宋体" w:hAnsi="宋体" w:cs="Lucida Sans Unicode"/>
          <w:sz w:val="24"/>
          <w:szCs w:val="24"/>
        </w:rPr>
        <w:t>空气过滤器的清洗是日常维护工作的一项重要内容。如果空气过滤器过脏，将降低空气的流量及过滤器的过滤能力。对直接膨胀制冷机组，风量的降低会引起故障，甚至引起压缩机损坏。通过定期清洗空气过滤器可以避免此类故障的发生。空气过滤器清洗的间隔时间取决于房间灰尘的多少，不作特别规定。</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color w:val="000000" w:themeColor="text1"/>
          <w:sz w:val="24"/>
          <w:szCs w:val="24"/>
        </w:rPr>
      </w:pPr>
      <w:r>
        <w:rPr>
          <w:rFonts w:hint="eastAsia" w:ascii="宋体" w:hAnsi="宋体" w:cs="Lucida Sans Unicode"/>
          <w:color w:val="000000" w:themeColor="text1"/>
          <w:sz w:val="24"/>
          <w:szCs w:val="24"/>
        </w:rPr>
        <w:t>3）空调内机排水水泵的日常维护</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color w:val="000000" w:themeColor="text1"/>
          <w:sz w:val="24"/>
          <w:szCs w:val="24"/>
        </w:rPr>
      </w:pPr>
      <w:r>
        <w:rPr>
          <w:rFonts w:hint="eastAsia" w:ascii="宋体" w:hAnsi="宋体" w:cs="Lucida Sans Unicode"/>
          <w:color w:val="000000" w:themeColor="text1"/>
          <w:sz w:val="24"/>
          <w:szCs w:val="24"/>
        </w:rPr>
        <w:t>内机排水系统是提供空调内机冷凝水排出机房的功能，由于为水冷空调，对排水水泵的要求格外重要，在日常的巡检中，将对水泵的运行情况进行记录，并定期检查排水性能。</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color w:val="000000" w:themeColor="text1"/>
          <w:sz w:val="24"/>
          <w:szCs w:val="24"/>
        </w:rPr>
      </w:pPr>
      <w:r>
        <w:rPr>
          <w:rFonts w:ascii="宋体" w:hAnsi="宋体" w:cs="Lucida Sans Unicode"/>
          <w:color w:val="000000" w:themeColor="text1"/>
          <w:sz w:val="24"/>
          <w:szCs w:val="24"/>
        </w:rPr>
        <w:t>4</w:t>
      </w:r>
      <w:r>
        <w:rPr>
          <w:rFonts w:hint="eastAsia" w:ascii="宋体" w:hAnsi="宋体" w:cs="Lucida Sans Unicode"/>
          <w:color w:val="000000" w:themeColor="text1"/>
          <w:sz w:val="24"/>
          <w:szCs w:val="24"/>
        </w:rPr>
        <w:t>）空调外机的维护</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color w:val="000000" w:themeColor="text1"/>
          <w:sz w:val="24"/>
          <w:szCs w:val="24"/>
        </w:rPr>
      </w:pPr>
      <w:r>
        <w:rPr>
          <w:rFonts w:hint="eastAsia" w:ascii="宋体" w:hAnsi="宋体" w:cs="Lucida Sans Unicode"/>
          <w:color w:val="000000" w:themeColor="text1"/>
          <w:sz w:val="24"/>
          <w:szCs w:val="24"/>
        </w:rPr>
        <w:t>外机为水冷系统，空调外机的运行格外重要，在日常的维护中，对外机的扇叶进行清理，并检查空调水质情况，定期对空调外机的循环水进行更换，保证循环水系统的水质清澈。</w:t>
      </w:r>
    </w:p>
    <w:p>
      <w:pPr>
        <w:pStyle w:val="6"/>
        <w:pageBreakBefore w:val="0"/>
        <w:kinsoku/>
        <w:wordWrap/>
        <w:overflowPunct/>
        <w:topLinePunct w:val="0"/>
        <w:autoSpaceDE/>
        <w:autoSpaceDN/>
        <w:bidi w:val="0"/>
        <w:spacing w:before="0" w:after="0" w:line="360" w:lineRule="auto"/>
        <w:ind w:right="0" w:rightChars="0"/>
        <w:textAlignment w:val="auto"/>
        <w:rPr>
          <w:sz w:val="24"/>
          <w:szCs w:val="24"/>
        </w:rPr>
      </w:pPr>
      <w:r>
        <w:rPr>
          <w:rFonts w:hint="eastAsia"/>
          <w:sz w:val="24"/>
          <w:szCs w:val="24"/>
        </w:rPr>
        <w:t>1.5.3服务要求</w:t>
      </w:r>
    </w:p>
    <w:p>
      <w:pPr>
        <w:pageBreakBefore w:val="0"/>
        <w:kinsoku/>
        <w:wordWrap/>
        <w:overflowPunct/>
        <w:topLinePunct w:val="0"/>
        <w:autoSpaceDE/>
        <w:autoSpaceDN/>
        <w:bidi w:val="0"/>
        <w:spacing w:line="360" w:lineRule="auto"/>
        <w:ind w:right="0" w:rightChars="0" w:firstLine="482" w:firstLineChars="200"/>
        <w:textAlignment w:val="auto"/>
        <w:rPr>
          <w:rFonts w:ascii="宋体" w:hAnsi="宋体" w:cs="Lucida Sans Unicode"/>
          <w:b/>
          <w:sz w:val="24"/>
          <w:szCs w:val="24"/>
        </w:rPr>
      </w:pPr>
      <w:r>
        <w:rPr>
          <w:rFonts w:hint="eastAsia" w:ascii="宋体" w:hAnsi="宋体" w:cs="Lucida Sans Unicode"/>
          <w:b/>
          <w:sz w:val="24"/>
          <w:szCs w:val="24"/>
        </w:rPr>
        <w:t>1）服务级别</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hint="eastAsia" w:ascii="宋体" w:hAnsi="宋体" w:cs="Lucida Sans Unicode"/>
          <w:sz w:val="24"/>
          <w:szCs w:val="24"/>
        </w:rPr>
        <w:t>机房UPS系统、精密空调系统的维护须采用半保服务模式：</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ascii="宋体" w:hAnsi="宋体" w:cs="Lucida Sans Unicode"/>
          <w:sz w:val="24"/>
          <w:szCs w:val="24"/>
        </w:rPr>
        <w:t>A</w:t>
      </w:r>
      <w:r>
        <w:rPr>
          <w:rFonts w:hint="eastAsia" w:ascii="宋体" w:hAnsi="宋体" w:cs="Lucida Sans Unicode"/>
          <w:sz w:val="24"/>
          <w:szCs w:val="24"/>
        </w:rPr>
        <w:t>.包括全部的维护与维修工作（包含设备的更换费用、耗材、备件、人工、差旅等费用，不包含UPS电池的更换。）；</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ascii="宋体" w:hAnsi="宋体" w:cs="Lucida Sans Unicode"/>
          <w:sz w:val="24"/>
          <w:szCs w:val="24"/>
        </w:rPr>
        <w:t>B</w:t>
      </w:r>
      <w:r>
        <w:rPr>
          <w:rFonts w:hint="eastAsia" w:ascii="宋体" w:hAnsi="宋体" w:cs="Lucida Sans Unicode"/>
          <w:sz w:val="24"/>
          <w:szCs w:val="24"/>
        </w:rPr>
        <w:t>.1个服务周期内由原厂授权与认证的专业工程师负责的12次定期巡检与特殊情况下（如节假日前、高温天气等）不定期巡检；</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ascii="宋体" w:hAnsi="宋体" w:cs="Lucida Sans Unicode"/>
          <w:sz w:val="24"/>
          <w:szCs w:val="24"/>
        </w:rPr>
        <w:t>C</w:t>
      </w:r>
      <w:r>
        <w:rPr>
          <w:rFonts w:hint="eastAsia" w:ascii="宋体" w:hAnsi="宋体" w:cs="Lucida Sans Unicode"/>
          <w:sz w:val="24"/>
          <w:szCs w:val="24"/>
        </w:rPr>
        <w:t>.服务周期内电话及时响应，全天候随时电话解决问题，紧急情况当时作出应急处理办法方案。紧急故障60分钟到达现场解决问题；</w:t>
      </w:r>
      <w:r>
        <w:rPr>
          <w:rFonts w:ascii="宋体" w:hAnsi="宋体" w:cs="Lucida Sans Unicode"/>
          <w:sz w:val="24"/>
          <w:szCs w:val="24"/>
        </w:rPr>
        <w:t xml:space="preserve"> </w:t>
      </w:r>
    </w:p>
    <w:p>
      <w:pPr>
        <w:pageBreakBefore w:val="0"/>
        <w:kinsoku/>
        <w:wordWrap/>
        <w:overflowPunct/>
        <w:topLinePunct w:val="0"/>
        <w:autoSpaceDE/>
        <w:autoSpaceDN/>
        <w:bidi w:val="0"/>
        <w:spacing w:line="360" w:lineRule="auto"/>
        <w:ind w:right="0" w:rightChars="0" w:firstLine="482" w:firstLineChars="200"/>
        <w:textAlignment w:val="auto"/>
        <w:rPr>
          <w:rFonts w:ascii="宋体" w:hAnsi="宋体" w:cs="Lucida Sans Unicode"/>
          <w:b/>
          <w:sz w:val="24"/>
          <w:szCs w:val="24"/>
        </w:rPr>
      </w:pPr>
      <w:bookmarkStart w:id="7" w:name="_Toc234210428"/>
      <w:bookmarkStart w:id="8" w:name="_Toc195456293"/>
      <w:r>
        <w:rPr>
          <w:rFonts w:hint="eastAsia" w:ascii="宋体" w:hAnsi="宋体" w:cs="Lucida Sans Unicode"/>
          <w:b/>
          <w:sz w:val="24"/>
          <w:szCs w:val="24"/>
        </w:rPr>
        <w:t>2）响应服务时间</w:t>
      </w:r>
      <w:bookmarkEnd w:id="7"/>
      <w:bookmarkEnd w:id="8"/>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ascii="宋体" w:hAnsi="宋体" w:cs="Lucida Sans Unicode"/>
          <w:sz w:val="24"/>
          <w:szCs w:val="24"/>
        </w:rPr>
        <w:t>A</w:t>
      </w:r>
      <w:r>
        <w:rPr>
          <w:rFonts w:hint="eastAsia" w:ascii="宋体" w:hAnsi="宋体" w:cs="Lucida Sans Unicode"/>
          <w:sz w:val="24"/>
          <w:szCs w:val="24"/>
        </w:rPr>
        <w:t>、7*24小时（包括星期六和星期日）故障报修响应时间及服务工程师到达现场不超过1小时。</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b/>
          <w:sz w:val="24"/>
          <w:szCs w:val="24"/>
          <w:u w:val="single"/>
        </w:rPr>
      </w:pPr>
      <w:r>
        <w:rPr>
          <w:rFonts w:ascii="宋体" w:hAnsi="宋体" w:cs="Lucida Sans Unicode"/>
          <w:sz w:val="24"/>
          <w:szCs w:val="24"/>
        </w:rPr>
        <w:t>B</w:t>
      </w:r>
      <w:r>
        <w:rPr>
          <w:rFonts w:hint="eastAsia" w:ascii="宋体" w:hAnsi="宋体" w:cs="Lucida Sans Unicode"/>
          <w:sz w:val="24"/>
          <w:szCs w:val="24"/>
        </w:rPr>
        <w:t>、</w:t>
      </w:r>
      <w:r>
        <w:rPr>
          <w:rFonts w:hint="eastAsia" w:ascii="宋体" w:hAnsi="宋体" w:cs="Lucida Sans Unicode"/>
          <w:b/>
          <w:sz w:val="24"/>
          <w:szCs w:val="24"/>
          <w:u w:val="single"/>
        </w:rPr>
        <w:t>如果设备故障在检修12工作小时内仍无法排除、无法维修的，则免费提供不低于故障设备功率的备机，且备机可安装在现有被替换的设备位置，以保障系统的稳定运行</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ascii="宋体" w:hAnsi="宋体" w:cs="Lucida Sans Unicode"/>
          <w:sz w:val="24"/>
          <w:szCs w:val="24"/>
        </w:rPr>
        <w:t>C</w:t>
      </w:r>
      <w:r>
        <w:rPr>
          <w:rFonts w:hint="eastAsia" w:ascii="宋体" w:hAnsi="宋体" w:cs="Lucida Sans Unicode"/>
          <w:sz w:val="24"/>
          <w:szCs w:val="24"/>
        </w:rPr>
        <w:t>、提供终身热线电话、技术支持服务</w:t>
      </w:r>
      <w:bookmarkStart w:id="9" w:name="_Toc234210429"/>
      <w:bookmarkStart w:id="10" w:name="_Toc195456299"/>
      <w:r>
        <w:rPr>
          <w:rFonts w:hint="eastAsia" w:ascii="宋体" w:hAnsi="宋体" w:cs="Lucida Sans Unicode"/>
          <w:sz w:val="24"/>
          <w:szCs w:val="24"/>
        </w:rPr>
        <w:t>。</w:t>
      </w:r>
    </w:p>
    <w:p>
      <w:pPr>
        <w:pageBreakBefore w:val="0"/>
        <w:kinsoku/>
        <w:wordWrap/>
        <w:overflowPunct/>
        <w:topLinePunct w:val="0"/>
        <w:autoSpaceDE/>
        <w:autoSpaceDN/>
        <w:bidi w:val="0"/>
        <w:spacing w:line="360" w:lineRule="auto"/>
        <w:ind w:right="0" w:rightChars="0" w:firstLine="482" w:firstLineChars="200"/>
        <w:textAlignment w:val="auto"/>
        <w:rPr>
          <w:rFonts w:ascii="宋体" w:hAnsi="宋体" w:cs="Lucida Sans Unicode"/>
          <w:b/>
          <w:sz w:val="24"/>
          <w:szCs w:val="24"/>
        </w:rPr>
      </w:pPr>
      <w:r>
        <w:rPr>
          <w:rFonts w:hint="eastAsia" w:ascii="宋体" w:hAnsi="宋体" w:cs="Lucida Sans Unicode"/>
          <w:b/>
          <w:sz w:val="24"/>
          <w:szCs w:val="24"/>
        </w:rPr>
        <w:t>3、巡检服务</w:t>
      </w:r>
      <w:bookmarkEnd w:id="9"/>
      <w:bookmarkEnd w:id="10"/>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hint="eastAsia" w:ascii="宋体" w:hAnsi="宋体" w:cs="Lucida Sans Unicode"/>
          <w:sz w:val="24"/>
          <w:szCs w:val="24"/>
        </w:rPr>
        <w:t>提供1个服务周期内12次定期巡检与特殊情况下（如节假日前、高温天气等）不定期巡检，也可根据用户要求增加系统现场例行检查次数，例行检查初步安排在每个季度的前十天对系统现场例行检查。系统例检是一种有计划的、全面统一的维护服务，可以消除系统隐患、提高系统效率、保障系统安全、加强系统管理。</w:t>
      </w:r>
      <w:bookmarkStart w:id="11" w:name="_Toc195456301"/>
      <w:bookmarkStart w:id="12" w:name="_Toc234210430"/>
    </w:p>
    <w:p>
      <w:pPr>
        <w:pageBreakBefore w:val="0"/>
        <w:kinsoku/>
        <w:wordWrap/>
        <w:overflowPunct/>
        <w:topLinePunct w:val="0"/>
        <w:autoSpaceDE/>
        <w:autoSpaceDN/>
        <w:bidi w:val="0"/>
        <w:spacing w:line="360" w:lineRule="auto"/>
        <w:ind w:right="0" w:rightChars="0" w:firstLine="482" w:firstLineChars="200"/>
        <w:textAlignment w:val="auto"/>
        <w:rPr>
          <w:rFonts w:ascii="宋体" w:hAnsi="宋体" w:cs="Lucida Sans Unicode"/>
          <w:b/>
          <w:sz w:val="24"/>
          <w:szCs w:val="24"/>
        </w:rPr>
      </w:pPr>
      <w:r>
        <w:rPr>
          <w:rFonts w:hint="eastAsia" w:ascii="宋体" w:hAnsi="宋体" w:cs="Lucida Sans Unicode"/>
          <w:b/>
          <w:sz w:val="24"/>
          <w:szCs w:val="24"/>
        </w:rPr>
        <w:t>4、成果递交</w:t>
      </w:r>
    </w:p>
    <w:p>
      <w:pPr>
        <w:pageBreakBefore w:val="0"/>
        <w:kinsoku/>
        <w:wordWrap/>
        <w:overflowPunct/>
        <w:topLinePunct w:val="0"/>
        <w:autoSpaceDE/>
        <w:autoSpaceDN/>
        <w:bidi w:val="0"/>
        <w:spacing w:line="360" w:lineRule="auto"/>
        <w:ind w:right="0" w:rightChars="0" w:firstLine="480" w:firstLineChars="200"/>
        <w:textAlignment w:val="auto"/>
        <w:rPr>
          <w:rFonts w:ascii="宋体" w:hAnsi="宋体" w:cs="Lucida Sans Unicode"/>
          <w:sz w:val="24"/>
          <w:szCs w:val="24"/>
        </w:rPr>
      </w:pPr>
      <w:r>
        <w:rPr>
          <w:rFonts w:hint="eastAsia" w:ascii="宋体" w:hAnsi="宋体" w:cs="Lucida Sans Unicode"/>
          <w:sz w:val="24"/>
          <w:szCs w:val="24"/>
        </w:rPr>
        <w:t>按要求定期提供月报、季报、年度报告，测试和检测报告。</w:t>
      </w:r>
    </w:p>
    <w:bookmarkEnd w:id="11"/>
    <w:bookmarkEnd w:id="12"/>
    <w:p>
      <w:pPr>
        <w:pStyle w:val="6"/>
        <w:pageBreakBefore w:val="0"/>
        <w:kinsoku/>
        <w:wordWrap/>
        <w:overflowPunct/>
        <w:topLinePunct w:val="0"/>
        <w:autoSpaceDE/>
        <w:autoSpaceDN/>
        <w:bidi w:val="0"/>
        <w:spacing w:before="0" w:after="0" w:line="360" w:lineRule="auto"/>
        <w:ind w:right="0" w:rightChars="0"/>
        <w:textAlignment w:val="auto"/>
        <w:rPr>
          <w:sz w:val="24"/>
          <w:szCs w:val="24"/>
        </w:rPr>
      </w:pPr>
      <w:r>
        <w:rPr>
          <w:rFonts w:hint="eastAsia"/>
          <w:sz w:val="24"/>
          <w:szCs w:val="24"/>
        </w:rPr>
        <w:t>1.5.4服务清单</w:t>
      </w:r>
    </w:p>
    <w:tbl>
      <w:tblPr>
        <w:tblStyle w:val="20"/>
        <w:tblW w:w="8290" w:type="dxa"/>
        <w:jc w:val="center"/>
        <w:tblLayout w:type="fixed"/>
        <w:tblCellMar>
          <w:top w:w="0" w:type="dxa"/>
          <w:left w:w="108" w:type="dxa"/>
          <w:bottom w:w="0" w:type="dxa"/>
          <w:right w:w="108" w:type="dxa"/>
        </w:tblCellMar>
      </w:tblPr>
      <w:tblGrid>
        <w:gridCol w:w="568"/>
        <w:gridCol w:w="1476"/>
        <w:gridCol w:w="4940"/>
        <w:gridCol w:w="672"/>
        <w:gridCol w:w="634"/>
      </w:tblGrid>
      <w:tr>
        <w:tblPrEx>
          <w:tblCellMar>
            <w:top w:w="0" w:type="dxa"/>
            <w:left w:w="108" w:type="dxa"/>
            <w:bottom w:w="0" w:type="dxa"/>
            <w:right w:w="108" w:type="dxa"/>
          </w:tblCellMar>
        </w:tblPrEx>
        <w:trPr>
          <w:trHeight w:val="270" w:hRule="atLeast"/>
          <w:jc w:val="center"/>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hint="eastAsia" w:ascii="宋体" w:hAnsi="宋体" w:cs="Lucida Sans Unicode"/>
                <w:sz w:val="24"/>
                <w:szCs w:val="24"/>
              </w:rPr>
              <w:t>1</w:t>
            </w:r>
          </w:p>
        </w:tc>
        <w:tc>
          <w:tcPr>
            <w:tcW w:w="1476"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ascii="宋体" w:hAnsi="宋体" w:cs="Lucida Sans Unicode"/>
                <w:sz w:val="24"/>
                <w:szCs w:val="24"/>
              </w:rPr>
              <w:t>P1030UA</w:t>
            </w:r>
          </w:p>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hint="eastAsia" w:ascii="宋体" w:hAnsi="宋体" w:cs="Lucida Sans Unicode"/>
                <w:sz w:val="24"/>
                <w:szCs w:val="24"/>
              </w:rPr>
              <w:t>空调一年维保</w:t>
            </w:r>
          </w:p>
        </w:tc>
        <w:tc>
          <w:tcPr>
            <w:tcW w:w="4940"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left"/>
              <w:textAlignment w:val="auto"/>
              <w:rPr>
                <w:rFonts w:ascii="宋体" w:hAnsi="宋体" w:cs="Lucida Sans Unicode"/>
                <w:sz w:val="24"/>
                <w:szCs w:val="24"/>
              </w:rPr>
            </w:pPr>
            <w:r>
              <w:rPr>
                <w:rFonts w:hint="eastAsia" w:ascii="宋体" w:hAnsi="宋体" w:cs="Lucida Sans Unicode"/>
                <w:sz w:val="24"/>
                <w:szCs w:val="24"/>
              </w:rPr>
              <w:t>艾默生</w:t>
            </w:r>
            <w:r>
              <w:rPr>
                <w:rFonts w:ascii="宋体" w:hAnsi="宋体" w:cs="Lucida Sans Unicode"/>
                <w:sz w:val="24"/>
                <w:szCs w:val="24"/>
              </w:rPr>
              <w:t>P1030UA</w:t>
            </w:r>
            <w:r>
              <w:rPr>
                <w:rFonts w:hint="eastAsia" w:ascii="宋体" w:hAnsi="宋体" w:cs="Lucida Sans Unicode"/>
                <w:sz w:val="24"/>
                <w:szCs w:val="24"/>
              </w:rPr>
              <w:t>，负责日常维护、空调外机清洗、过滤网更换、检修等；含一年空调耗材：16片空调过滤网、1根压缩机皮带；</w:t>
            </w:r>
          </w:p>
        </w:tc>
        <w:tc>
          <w:tcPr>
            <w:tcW w:w="672"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hint="eastAsia" w:ascii="宋体" w:hAnsi="宋体" w:cs="Lucida Sans Unicode"/>
                <w:sz w:val="24"/>
                <w:szCs w:val="24"/>
              </w:rPr>
              <w:t>台</w:t>
            </w:r>
          </w:p>
        </w:tc>
        <w:tc>
          <w:tcPr>
            <w:tcW w:w="634"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hint="eastAsia" w:ascii="宋体" w:hAnsi="宋体" w:cs="Lucida Sans Unicode"/>
                <w:sz w:val="24"/>
                <w:szCs w:val="24"/>
              </w:rPr>
              <w:t>1</w:t>
            </w:r>
          </w:p>
        </w:tc>
      </w:tr>
      <w:tr>
        <w:tblPrEx>
          <w:tblCellMar>
            <w:top w:w="0" w:type="dxa"/>
            <w:left w:w="108" w:type="dxa"/>
            <w:bottom w:w="0" w:type="dxa"/>
            <w:right w:w="108" w:type="dxa"/>
          </w:tblCellMar>
        </w:tblPrEx>
        <w:trPr>
          <w:trHeight w:val="1472" w:hRule="atLeast"/>
          <w:jc w:val="center"/>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ascii="宋体" w:hAnsi="宋体" w:cs="Lucida Sans Unicode"/>
                <w:sz w:val="24"/>
                <w:szCs w:val="24"/>
              </w:rPr>
              <w:t>2</w:t>
            </w:r>
          </w:p>
        </w:tc>
        <w:tc>
          <w:tcPr>
            <w:tcW w:w="1476"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ascii="宋体" w:hAnsi="宋体" w:cs="Lucida Sans Unicode"/>
                <w:sz w:val="24"/>
                <w:szCs w:val="24"/>
              </w:rPr>
              <w:t>CR025RA</w:t>
            </w:r>
          </w:p>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hint="eastAsia" w:ascii="宋体" w:hAnsi="宋体" w:cs="Lucida Sans Unicode"/>
                <w:sz w:val="24"/>
                <w:szCs w:val="24"/>
              </w:rPr>
              <w:t>空调一年维保</w:t>
            </w:r>
          </w:p>
        </w:tc>
        <w:tc>
          <w:tcPr>
            <w:tcW w:w="4940"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left"/>
              <w:textAlignment w:val="auto"/>
              <w:rPr>
                <w:rFonts w:ascii="宋体" w:hAnsi="宋体" w:cs="Lucida Sans Unicode"/>
                <w:sz w:val="24"/>
                <w:szCs w:val="24"/>
              </w:rPr>
            </w:pPr>
            <w:r>
              <w:rPr>
                <w:rFonts w:hint="eastAsia" w:ascii="宋体" w:hAnsi="宋体" w:cs="Lucida Sans Unicode"/>
                <w:sz w:val="24"/>
                <w:szCs w:val="24"/>
              </w:rPr>
              <w:t>艾默生</w:t>
            </w:r>
            <w:r>
              <w:rPr>
                <w:rFonts w:ascii="宋体" w:hAnsi="宋体" w:cs="Lucida Sans Unicode"/>
                <w:sz w:val="24"/>
                <w:szCs w:val="24"/>
              </w:rPr>
              <w:t>CR025RA</w:t>
            </w:r>
            <w:r>
              <w:rPr>
                <w:rFonts w:hint="eastAsia" w:ascii="宋体" w:hAnsi="宋体" w:cs="Lucida Sans Unicode"/>
                <w:sz w:val="24"/>
                <w:szCs w:val="24"/>
              </w:rPr>
              <w:t>，负责日常维护、空调外机清洗、过滤网更换、加湿罐更换、检修等；含1年耗材：16片空调过滤网、4只空调加湿器；</w:t>
            </w:r>
          </w:p>
        </w:tc>
        <w:tc>
          <w:tcPr>
            <w:tcW w:w="672"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hint="eastAsia" w:ascii="宋体" w:hAnsi="宋体" w:cs="Lucida Sans Unicode"/>
                <w:sz w:val="24"/>
                <w:szCs w:val="24"/>
              </w:rPr>
              <w:t>台</w:t>
            </w:r>
          </w:p>
        </w:tc>
        <w:tc>
          <w:tcPr>
            <w:tcW w:w="634"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ascii="宋体" w:hAnsi="宋体" w:cs="Lucida Sans Unicode"/>
                <w:sz w:val="24"/>
                <w:szCs w:val="24"/>
              </w:rPr>
              <w:t>2</w:t>
            </w:r>
          </w:p>
        </w:tc>
      </w:tr>
      <w:tr>
        <w:tblPrEx>
          <w:tblCellMar>
            <w:top w:w="0" w:type="dxa"/>
            <w:left w:w="108" w:type="dxa"/>
            <w:bottom w:w="0" w:type="dxa"/>
            <w:right w:w="108" w:type="dxa"/>
          </w:tblCellMar>
        </w:tblPrEx>
        <w:trPr>
          <w:trHeight w:val="2420" w:hRule="atLeast"/>
          <w:jc w:val="center"/>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ascii="宋体" w:hAnsi="宋体" w:cs="Lucida Sans Unicode"/>
                <w:sz w:val="24"/>
                <w:szCs w:val="24"/>
              </w:rPr>
              <w:t>3</w:t>
            </w:r>
          </w:p>
        </w:tc>
        <w:tc>
          <w:tcPr>
            <w:tcW w:w="1476"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hint="eastAsia" w:ascii="宋体" w:hAnsi="宋体" w:cs="Lucida Sans Unicode"/>
                <w:sz w:val="24"/>
                <w:szCs w:val="24"/>
              </w:rPr>
              <w:t>艾默生EPM100KVA</w:t>
            </w:r>
          </w:p>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hint="eastAsia" w:ascii="宋体" w:hAnsi="宋体" w:cs="Lucida Sans Unicode"/>
                <w:sz w:val="24"/>
                <w:szCs w:val="24"/>
              </w:rPr>
              <w:t>UPS</w:t>
            </w:r>
            <w:r>
              <w:rPr>
                <w:rFonts w:ascii="宋体" w:hAnsi="宋体" w:cs="Lucida Sans Unicode"/>
                <w:sz w:val="24"/>
                <w:szCs w:val="24"/>
              </w:rPr>
              <w:t>一年维保</w:t>
            </w:r>
          </w:p>
        </w:tc>
        <w:tc>
          <w:tcPr>
            <w:tcW w:w="4940"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left"/>
              <w:textAlignment w:val="auto"/>
              <w:rPr>
                <w:rFonts w:ascii="宋体" w:hAnsi="宋体" w:cs="Lucida Sans Unicode"/>
                <w:sz w:val="24"/>
                <w:szCs w:val="24"/>
              </w:rPr>
            </w:pPr>
            <w:r>
              <w:rPr>
                <w:rFonts w:ascii="宋体" w:hAnsi="宋体" w:cs="Lucida Sans Unicode"/>
                <w:sz w:val="24"/>
                <w:szCs w:val="24"/>
              </w:rPr>
              <w:t>EPM 100KVA</w:t>
            </w:r>
            <w:r>
              <w:rPr>
                <w:rFonts w:hint="eastAsia" w:ascii="宋体" w:hAnsi="宋体" w:cs="Lucida Sans Unicode"/>
                <w:sz w:val="24"/>
                <w:szCs w:val="24"/>
              </w:rPr>
              <w:t>，</w:t>
            </w:r>
            <w:r>
              <w:rPr>
                <w:rFonts w:ascii="宋体" w:hAnsi="宋体" w:cs="Lucida Sans Unicode"/>
                <w:sz w:val="24"/>
                <w:szCs w:val="24"/>
              </w:rPr>
              <w:t>负责日常维护</w:t>
            </w:r>
            <w:r>
              <w:rPr>
                <w:rFonts w:hint="eastAsia" w:ascii="宋体" w:hAnsi="宋体" w:cs="Lucida Sans Unicode"/>
                <w:sz w:val="24"/>
                <w:szCs w:val="24"/>
              </w:rPr>
              <w:t>；检查UPS供电线路连接是否坚固，有无松动或损坏现象；电缆线路有无破损漏电现象；各转换装置情况是否良好；各项技术参数有无异常；电池状态监测等；并检查运行状态；</w:t>
            </w:r>
          </w:p>
        </w:tc>
        <w:tc>
          <w:tcPr>
            <w:tcW w:w="672"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hint="eastAsia" w:ascii="宋体" w:hAnsi="宋体" w:cs="Lucida Sans Unicode"/>
                <w:sz w:val="24"/>
                <w:szCs w:val="24"/>
              </w:rPr>
              <w:t>台</w:t>
            </w:r>
          </w:p>
        </w:tc>
        <w:tc>
          <w:tcPr>
            <w:tcW w:w="634"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ascii="宋体" w:hAnsi="宋体" w:cs="Lucida Sans Unicode"/>
                <w:sz w:val="24"/>
                <w:szCs w:val="24"/>
              </w:rPr>
              <w:t>3</w:t>
            </w:r>
          </w:p>
        </w:tc>
      </w:tr>
      <w:tr>
        <w:tblPrEx>
          <w:tblCellMar>
            <w:top w:w="0" w:type="dxa"/>
            <w:left w:w="108" w:type="dxa"/>
            <w:bottom w:w="0" w:type="dxa"/>
            <w:right w:w="108" w:type="dxa"/>
          </w:tblCellMar>
        </w:tblPrEx>
        <w:trPr>
          <w:trHeight w:val="273" w:hRule="atLeast"/>
          <w:jc w:val="center"/>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hint="eastAsia" w:ascii="宋体" w:hAnsi="宋体" w:cs="Lucida Sans Unicode"/>
                <w:sz w:val="24"/>
                <w:szCs w:val="24"/>
              </w:rPr>
              <w:t>4</w:t>
            </w:r>
          </w:p>
        </w:tc>
        <w:tc>
          <w:tcPr>
            <w:tcW w:w="1476"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hint="eastAsia" w:ascii="宋体" w:hAnsi="宋体" w:cs="Lucida Sans Unicode"/>
                <w:sz w:val="24"/>
                <w:szCs w:val="24"/>
              </w:rPr>
              <w:t>格力3</w:t>
            </w:r>
            <w:r>
              <w:rPr>
                <w:rFonts w:ascii="宋体" w:hAnsi="宋体" w:cs="Lucida Sans Unicode"/>
                <w:sz w:val="24"/>
                <w:szCs w:val="24"/>
              </w:rPr>
              <w:t>P</w:t>
            </w:r>
            <w:r>
              <w:rPr>
                <w:rFonts w:hint="eastAsia" w:ascii="宋体" w:hAnsi="宋体" w:cs="Lucida Sans Unicode"/>
                <w:sz w:val="24"/>
                <w:szCs w:val="24"/>
              </w:rPr>
              <w:t>柜机</w:t>
            </w:r>
          </w:p>
        </w:tc>
        <w:tc>
          <w:tcPr>
            <w:tcW w:w="4940"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left"/>
              <w:textAlignment w:val="auto"/>
              <w:rPr>
                <w:rFonts w:ascii="宋体" w:hAnsi="宋体" w:cs="Lucida Sans Unicode"/>
                <w:sz w:val="24"/>
                <w:szCs w:val="24"/>
              </w:rPr>
            </w:pPr>
            <w:r>
              <w:rPr>
                <w:rFonts w:ascii="宋体" w:hAnsi="宋体" w:cs="Lucida Sans Unicode"/>
                <w:sz w:val="24"/>
                <w:szCs w:val="24"/>
              </w:rPr>
              <w:t>包修服务，含配件、材料、制冷液补充等。</w:t>
            </w:r>
          </w:p>
        </w:tc>
        <w:tc>
          <w:tcPr>
            <w:tcW w:w="672"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hint="eastAsia" w:ascii="宋体" w:hAnsi="宋体" w:cs="Lucida Sans Unicode"/>
                <w:sz w:val="24"/>
                <w:szCs w:val="24"/>
              </w:rPr>
              <w:t>台</w:t>
            </w:r>
          </w:p>
        </w:tc>
        <w:tc>
          <w:tcPr>
            <w:tcW w:w="634"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360" w:lineRule="auto"/>
              <w:ind w:right="0" w:rightChars="0"/>
              <w:jc w:val="center"/>
              <w:textAlignment w:val="auto"/>
              <w:rPr>
                <w:rFonts w:ascii="宋体" w:hAnsi="宋体" w:cs="Lucida Sans Unicode"/>
                <w:sz w:val="24"/>
                <w:szCs w:val="24"/>
              </w:rPr>
            </w:pPr>
            <w:r>
              <w:rPr>
                <w:rFonts w:hint="eastAsia" w:ascii="宋体" w:hAnsi="宋体" w:cs="Lucida Sans Unicode"/>
                <w:sz w:val="24"/>
                <w:szCs w:val="24"/>
              </w:rPr>
              <w:t>3</w:t>
            </w:r>
          </w:p>
        </w:tc>
      </w:tr>
    </w:tbl>
    <w:p>
      <w:pPr>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eastAsia="zh-CN"/>
        </w:rPr>
      </w:pPr>
    </w:p>
    <w:p>
      <w:pPr>
        <w:spacing w:line="360" w:lineRule="auto"/>
        <w:ind w:firstLine="480" w:firstLineChars="200"/>
        <w:rPr>
          <w:rFonts w:hint="default" w:asciiTheme="minorEastAsia" w:hAnsiTheme="minorEastAsia"/>
          <w:sz w:val="24"/>
          <w:szCs w:val="24"/>
          <w:highlight w:val="none"/>
          <w:lang w:val="en-US" w:eastAsia="zh-CN"/>
        </w:rPr>
      </w:pPr>
      <w:r>
        <w:rPr>
          <w:rFonts w:hint="eastAsia" w:ascii="宋体" w:hAnsi="宋体" w:cs="Lucida Sans Unicode"/>
          <w:sz w:val="24"/>
          <w:szCs w:val="24"/>
          <w:highlight w:val="none"/>
          <w:lang w:eastAsia="zh-CN"/>
        </w:rPr>
        <w:t>二、</w:t>
      </w:r>
      <w:r>
        <w:rPr>
          <w:rFonts w:hint="eastAsia" w:ascii="宋体" w:hAnsi="宋体" w:cs="Lucida Sans Unicode"/>
          <w:sz w:val="24"/>
          <w:szCs w:val="24"/>
          <w:highlight w:val="none"/>
        </w:rPr>
        <w:t>付款方式：</w:t>
      </w:r>
      <w:r>
        <w:rPr>
          <w:rFonts w:hint="eastAsia" w:asciiTheme="minorEastAsia" w:hAnsiTheme="minorEastAsia"/>
          <w:sz w:val="24"/>
          <w:szCs w:val="24"/>
          <w:highlight w:val="none"/>
          <w:lang w:val="en-US" w:eastAsia="zh-CN"/>
        </w:rPr>
        <w:t>单年度维护期内分两次付款，单年度维护期开始前支付年度维保费的50%，单年度维护期结束后支付年度维保费的50%</w:t>
      </w:r>
    </w:p>
    <w:p>
      <w:pPr>
        <w:pageBreakBefore w:val="0"/>
        <w:widowControl w:val="0"/>
        <w:kinsoku/>
        <w:wordWrap/>
        <w:overflowPunct/>
        <w:topLinePunct w:val="0"/>
        <w:autoSpaceDE/>
        <w:autoSpaceDN/>
        <w:bidi w:val="0"/>
        <w:adjustRightInd/>
        <w:snapToGrid/>
        <w:spacing w:line="360" w:lineRule="auto"/>
        <w:ind w:right="0" w:rightChars="0"/>
        <w:jc w:val="both"/>
        <w:textAlignment w:val="auto"/>
        <w:rPr>
          <w:rFonts w:hint="default" w:eastAsia="宋体" w:asciiTheme="minorEastAsia" w:hAnsiTheme="minorEastAsia"/>
          <w:sz w:val="24"/>
          <w:szCs w:val="24"/>
          <w:highlight w:val="none"/>
          <w:lang w:val="en-US" w:eastAsia="zh-CN"/>
        </w:rPr>
      </w:pPr>
    </w:p>
    <w:p>
      <w:pPr>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asciiTheme="minorEastAsia" w:hAnsiTheme="minorEastAsia"/>
          <w:sz w:val="28"/>
          <w:szCs w:val="28"/>
          <w:highlight w:val="none"/>
        </w:rPr>
      </w:pPr>
      <w:r>
        <w:rPr>
          <w:rFonts w:hint="eastAsia" w:asciiTheme="minorEastAsia" w:hAnsiTheme="minorEastAsia"/>
          <w:sz w:val="24"/>
          <w:szCs w:val="24"/>
          <w:highlight w:val="none"/>
          <w:lang w:eastAsia="zh-CN"/>
        </w:rPr>
        <w:t>三、服务期</w:t>
      </w:r>
      <w:r>
        <w:rPr>
          <w:rFonts w:hint="eastAsia" w:asciiTheme="minorEastAsia" w:hAnsiTheme="minorEastAsia"/>
          <w:sz w:val="24"/>
          <w:szCs w:val="24"/>
          <w:highlight w:val="none"/>
        </w:rPr>
        <w:t>：</w:t>
      </w:r>
      <w:bookmarkStart w:id="13" w:name="_Hlk26882377"/>
      <w:r>
        <w:rPr>
          <w:rFonts w:hint="eastAsia" w:asciiTheme="minorEastAsia" w:hAnsiTheme="minorEastAsia"/>
          <w:sz w:val="24"/>
          <w:szCs w:val="24"/>
          <w:highlight w:val="none"/>
          <w:lang w:eastAsia="zh-CN"/>
        </w:rPr>
        <w:t>本项目服务期</w:t>
      </w:r>
      <w:r>
        <w:rPr>
          <w:rFonts w:hint="eastAsia" w:asciiTheme="minorEastAsia" w:hAnsiTheme="minorEastAsia"/>
          <w:sz w:val="24"/>
          <w:szCs w:val="24"/>
          <w:highlight w:val="none"/>
        </w:rPr>
        <w:t>3年。在上一个服务周期内用户满意度在95%以上，</w:t>
      </w:r>
      <w:r>
        <w:rPr>
          <w:rFonts w:asciiTheme="minorEastAsia" w:hAnsiTheme="minorEastAsia"/>
          <w:sz w:val="24"/>
          <w:szCs w:val="24"/>
          <w:highlight w:val="none"/>
        </w:rPr>
        <w:t>可在下一周期招标中</w:t>
      </w:r>
      <w:r>
        <w:rPr>
          <w:rFonts w:hint="eastAsia" w:asciiTheme="minorEastAsia" w:hAnsiTheme="minorEastAsia"/>
          <w:sz w:val="24"/>
          <w:szCs w:val="24"/>
          <w:highlight w:val="none"/>
        </w:rPr>
        <w:t>可适当</w:t>
      </w:r>
      <w:r>
        <w:rPr>
          <w:rFonts w:asciiTheme="minorEastAsia" w:hAnsiTheme="minorEastAsia"/>
          <w:sz w:val="24"/>
          <w:szCs w:val="24"/>
          <w:highlight w:val="none"/>
        </w:rPr>
        <w:t>加分。</w:t>
      </w:r>
      <w:bookmarkEnd w:id="13"/>
    </w:p>
    <w:p>
      <w:pPr>
        <w:pageBreakBefore w:val="0"/>
        <w:kinsoku/>
        <w:wordWrap/>
        <w:overflowPunct/>
        <w:topLinePunct w:val="0"/>
        <w:autoSpaceDE/>
        <w:autoSpaceDN/>
        <w:bidi w:val="0"/>
        <w:snapToGrid w:val="0"/>
        <w:spacing w:line="360" w:lineRule="auto"/>
        <w:ind w:right="0" w:rightChars="0" w:firstLine="480" w:firstLineChars="200"/>
        <w:textAlignment w:val="auto"/>
        <w:rPr>
          <w:rFonts w:hint="eastAsia" w:ascii="宋体" w:hAnsi="宋体"/>
          <w:b/>
          <w:bCs/>
          <w:color w:val="000000"/>
          <w:sz w:val="24"/>
          <w:szCs w:val="24"/>
          <w:highlight w:val="none"/>
          <w:lang w:eastAsia="zh-CN"/>
        </w:rPr>
      </w:pPr>
      <w:r>
        <w:rPr>
          <w:rFonts w:hint="eastAsia" w:ascii="宋体" w:hAnsi="宋体"/>
          <w:b w:val="0"/>
          <w:bCs w:val="0"/>
          <w:color w:val="000000"/>
          <w:sz w:val="24"/>
          <w:szCs w:val="24"/>
          <w:highlight w:val="none"/>
          <w:lang w:val="en-US" w:eastAsia="zh-CN"/>
        </w:rPr>
        <w:t xml:space="preserve"> 四、</w:t>
      </w:r>
      <w:r>
        <w:rPr>
          <w:rFonts w:hint="eastAsia" w:ascii="宋体" w:hAnsi="宋体"/>
          <w:b w:val="0"/>
          <w:bCs w:val="0"/>
          <w:color w:val="000000"/>
          <w:sz w:val="24"/>
          <w:szCs w:val="24"/>
          <w:highlight w:val="none"/>
        </w:rPr>
        <w:t>服务期结束时，本合同下的维保对象应处良好及正常状态</w:t>
      </w:r>
      <w:r>
        <w:rPr>
          <w:rFonts w:hint="eastAsia" w:ascii="宋体" w:hAnsi="宋体"/>
          <w:b w:val="0"/>
          <w:bCs w:val="0"/>
          <w:color w:val="000000"/>
          <w:sz w:val="24"/>
          <w:szCs w:val="24"/>
          <w:highlight w:val="none"/>
          <w:lang w:eastAsia="zh-CN"/>
        </w:rPr>
        <w:t>。</w:t>
      </w:r>
    </w:p>
    <w:p>
      <w:pPr>
        <w:pageBreakBefore w:val="0"/>
        <w:kinsoku/>
        <w:wordWrap/>
        <w:overflowPunct/>
        <w:topLinePunct w:val="0"/>
        <w:autoSpaceDE/>
        <w:autoSpaceDN/>
        <w:bidi w:val="0"/>
        <w:snapToGrid w:val="0"/>
        <w:spacing w:line="360" w:lineRule="auto"/>
        <w:ind w:right="0" w:rightChars="0"/>
        <w:textAlignment w:val="auto"/>
        <w:rPr>
          <w:rFonts w:hint="eastAsia" w:ascii="宋体" w:hAnsi="宋体"/>
          <w:b/>
          <w:bCs/>
          <w:color w:val="000000"/>
          <w:sz w:val="24"/>
          <w:szCs w:val="24"/>
          <w:lang w:eastAsia="zh-CN"/>
        </w:rPr>
      </w:pPr>
      <w:r>
        <w:rPr>
          <w:rFonts w:hint="eastAsia" w:ascii="宋体" w:hAnsi="宋体"/>
          <w:b/>
          <w:bCs/>
          <w:color w:val="000000"/>
          <w:sz w:val="24"/>
          <w:szCs w:val="24"/>
          <w:lang w:eastAsia="zh-CN"/>
        </w:rPr>
        <w:br w:type="page"/>
      </w:r>
    </w:p>
    <w:p>
      <w:pPr>
        <w:snapToGrid w:val="0"/>
        <w:spacing w:line="56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iCs/>
          <w:w w:val="80"/>
          <w:sz w:val="44"/>
          <w:szCs w:val="44"/>
        </w:rPr>
        <w:t xml:space="preserve">第四章  </w:t>
      </w:r>
      <w:bookmarkStart w:id="14" w:name="_Toc182848996"/>
      <w:bookmarkStart w:id="15" w:name="_Toc37322565"/>
      <w:bookmarkStart w:id="16" w:name="_Toc38121794"/>
      <w:bookmarkStart w:id="17" w:name="_Toc85627670"/>
      <w:bookmarkStart w:id="18" w:name="_Toc43217893"/>
      <w:r>
        <w:rPr>
          <w:rFonts w:hint="eastAsia" w:asciiTheme="minorEastAsia" w:hAnsiTheme="minorEastAsia" w:eastAsiaTheme="minorEastAsia" w:cstheme="minorEastAsia"/>
          <w:b/>
          <w:iCs/>
          <w:w w:val="80"/>
          <w:sz w:val="44"/>
          <w:szCs w:val="44"/>
        </w:rPr>
        <w:t>评审方法和程序</w:t>
      </w:r>
    </w:p>
    <w:bookmarkEnd w:id="14"/>
    <w:bookmarkEnd w:id="15"/>
    <w:bookmarkEnd w:id="16"/>
    <w:bookmarkEnd w:id="17"/>
    <w:bookmarkEnd w:id="18"/>
    <w:p>
      <w:pPr>
        <w:snapToGrid w:val="0"/>
        <w:spacing w:line="520" w:lineRule="exact"/>
        <w:ind w:firstLine="482" w:firstLineChars="200"/>
        <w:outlineLvl w:val="1"/>
        <w:rPr>
          <w:rFonts w:hint="eastAsia" w:asciiTheme="minorEastAsia" w:hAnsiTheme="minorEastAsia" w:eastAsiaTheme="minorEastAsia" w:cstheme="minorEastAsia"/>
          <w:b/>
          <w:sz w:val="24"/>
          <w:szCs w:val="24"/>
        </w:rPr>
      </w:pPr>
      <w:bookmarkStart w:id="19" w:name="_Toc363573857"/>
      <w:bookmarkEnd w:id="19"/>
      <w:r>
        <w:rPr>
          <w:rFonts w:hint="eastAsia" w:asciiTheme="minorEastAsia" w:hAnsiTheme="minorEastAsia" w:eastAsiaTheme="minorEastAsia" w:cstheme="minorEastAsia"/>
          <w:b/>
          <w:sz w:val="24"/>
          <w:szCs w:val="24"/>
        </w:rPr>
        <w:t>一、代理机构组织磋商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1、本次竞争性磋商依据《中华人民共和国政府采购法》、《政府采购竞争性磋商采购方式管理暂行办法》及有关法规成立磋商小组。磋商小组由采购人代表和评审专家共3人及以上单数组成。</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2、磋商小组的职责：</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（1）磋商小组成员应当按照客观、公正、审慎的原则，根据磋商文件规定的评审程序、评审方法和评审标准进行独立评审。</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（2）磋商小组成员应当遵守评审工作纪律，不得泄露评审情况和评审中获悉的商业秘密，对个人的评审意见承担法律责任；</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（3）磋商小组成员在评审过程中发现供应商有行贿、提供虚假材料或者串通等违法行为的，应当及时向财政部门报告。</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（4）磋商小组成员在评审过程中受到非法干涉的，应当及时向财政、监察等部门举报。</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（5）配合采购单位答复供应商提出的质疑；配合财政部门的投诉处理和监督检查工作。</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3、评审有关记录由磋商小组成员签名，存档备查。</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4、供应商的法定代表人或被授权人须持身份证准时参加磋商开标会。</w:t>
      </w:r>
    </w:p>
    <w:p>
      <w:pPr>
        <w:snapToGrid w:val="0"/>
        <w:spacing w:line="52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二、磋商的原则及方法</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520" w:lineRule="exact"/>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520" w:lineRule="exact"/>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4、磋商小组所有成员应当集中与单一供应商分别进行磋商，并给予所有参加磋商的供应商平等的磋商机会。</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6、对磋商文件作出的实质性变动是磋商文件的有效组成部分，磋商小组应当及时以书面形式同时通知所有参加磋商的供应商。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7、供应商应当按照磋商文件的变动情况和磋商小组的要求重新提交响应文件，并由其法定代表人或被授权人签字或者加盖公章。由被授权人签字的，应当附法定代表人授权书。</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10、除非在磋商中磋商小组对采购单位需求内容作了调整增加，或对采购内容作了实质性变更，否则</w:t>
      </w:r>
      <w:r>
        <w:rPr>
          <w:rFonts w:hint="eastAsia" w:asciiTheme="minorEastAsia" w:hAnsiTheme="minorEastAsia" w:eastAsiaTheme="minorEastAsia" w:cstheme="minorEastAsia"/>
          <w:b/>
          <w:sz w:val="24"/>
          <w:szCs w:val="24"/>
        </w:rPr>
        <w:t>采购单位不接受供应商高于自己前一轮的磋商报价</w:t>
      </w:r>
      <w:r>
        <w:rPr>
          <w:rFonts w:hint="eastAsia" w:asciiTheme="minorEastAsia" w:hAnsiTheme="minorEastAsia" w:eastAsiaTheme="minorEastAsia" w:cstheme="minorEastAsia"/>
          <w:sz w:val="24"/>
          <w:szCs w:val="24"/>
        </w:rPr>
        <w:t>。</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11、对于在磋商顺利开始后至最终报价前，根据磋商情况退出磋商的供应商，须以书面形式说明退出磋商的原因，经磋商小组同意可以退出磋商。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12、在磋商中，磋商的任何一方不得透露与磋商有关的其他响应磋商的供应商的技术资料、价格及其他信息。</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13、单位负责人为同一人或者存在直接控股、管理关系的不同供应商，都不得在同一采购项目相同标段中同时参加磋商，一经发现，将视同围标处理。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b/>
          <w:bCs/>
          <w:sz w:val="24"/>
          <w:szCs w:val="24"/>
        </w:rPr>
        <w:t>若采购过程中符合要求的供应商只有两家，则由磋商小组集体讨论决定是否继续进行竞争性磋商采购活动；若采购过程中符合要求的供应商只有一家，则终止本次竞争性磋商采购活动，重新开展采购活动。</w:t>
      </w:r>
    </w:p>
    <w:p>
      <w:pPr>
        <w:snapToGrid w:val="0"/>
        <w:spacing w:line="52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三、磋商评定结果的方法</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b/>
          <w:sz w:val="24"/>
          <w:szCs w:val="24"/>
          <w:u w:val="single"/>
        </w:rPr>
        <w:t>经磋商确定最终采购需求和提交最后报价的供应商后，</w:t>
      </w:r>
      <w:r>
        <w:rPr>
          <w:rFonts w:hint="eastAsia" w:asciiTheme="minorEastAsia" w:hAnsiTheme="minorEastAsia" w:eastAsiaTheme="minorEastAsia" w:cstheme="minorEastAsia"/>
          <w:sz w:val="24"/>
          <w:szCs w:val="24"/>
        </w:rPr>
        <w:t>由磋商小组采用综合评分法</w:t>
      </w:r>
      <w:r>
        <w:rPr>
          <w:rFonts w:hint="eastAsia" w:asciiTheme="minorEastAsia" w:hAnsiTheme="minorEastAsia" w:eastAsiaTheme="minorEastAsia" w:cstheme="minorEastAsia"/>
          <w:b/>
          <w:sz w:val="24"/>
          <w:szCs w:val="24"/>
          <w:u w:val="single"/>
        </w:rPr>
        <w:t>对提交最后报价的供应商的响应文件和最后报价</w:t>
      </w:r>
      <w:r>
        <w:rPr>
          <w:rFonts w:hint="eastAsia" w:asciiTheme="minorEastAsia" w:hAnsiTheme="minorEastAsia" w:eastAsiaTheme="minorEastAsia" w:cstheme="minorEastAsia"/>
          <w:sz w:val="24"/>
          <w:szCs w:val="24"/>
        </w:rPr>
        <w:t>进行综合评分。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2、评审时，磋商小组各成员应当独立对每个有效响应的文件进行评价、打分，然后汇总每个供应商每项评分因素的得分（计算结果均四舍五入保留两位小数）。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3、本次项目磋商的技术和商务报价评审总分值为100分。两部分评审因素比重如下： </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技术分值占总分值的比重为</w:t>
      </w:r>
      <w:r>
        <w:rPr>
          <w:rFonts w:hint="eastAsia" w:asciiTheme="minorEastAsia" w:hAnsiTheme="minorEastAsia" w:eastAsiaTheme="minorEastAsia" w:cstheme="minorEastAsia"/>
          <w:b/>
          <w:sz w:val="24"/>
          <w:szCs w:val="24"/>
          <w:u w:val="single"/>
          <w:lang w:val="en-US" w:eastAsia="zh-CN"/>
        </w:rPr>
        <w:t>7</w:t>
      </w:r>
      <w:r>
        <w:rPr>
          <w:rFonts w:hint="eastAsia" w:asciiTheme="minorEastAsia" w:hAnsiTheme="minorEastAsia" w:eastAsiaTheme="minorEastAsia" w:cstheme="minorEastAsia"/>
          <w:b/>
          <w:sz w:val="24"/>
          <w:szCs w:val="24"/>
          <w:u w:val="single"/>
        </w:rPr>
        <w:t>0%（权重）</w:t>
      </w:r>
      <w:r>
        <w:rPr>
          <w:rFonts w:hint="eastAsia" w:asciiTheme="minorEastAsia" w:hAnsiTheme="minorEastAsia" w:eastAsiaTheme="minorEastAsia" w:cstheme="minorEastAsia"/>
          <w:sz w:val="24"/>
          <w:szCs w:val="24"/>
        </w:rPr>
        <w:t>（四舍五入保留两位小数）；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商务报价分值占总分值的比重为</w:t>
      </w:r>
      <w:r>
        <w:rPr>
          <w:rFonts w:hint="eastAsia" w:asciiTheme="minorEastAsia" w:hAnsiTheme="minorEastAsia" w:eastAsiaTheme="minorEastAsia" w:cstheme="minorEastAsia"/>
          <w:b/>
          <w:sz w:val="24"/>
          <w:szCs w:val="24"/>
          <w:u w:val="single"/>
          <w:lang w:val="en-US" w:eastAsia="zh-CN"/>
        </w:rPr>
        <w:t>3</w:t>
      </w:r>
      <w:r>
        <w:rPr>
          <w:rFonts w:hint="eastAsia" w:asciiTheme="minorEastAsia" w:hAnsiTheme="minorEastAsia" w:eastAsiaTheme="minorEastAsia" w:cstheme="minorEastAsia"/>
          <w:b/>
          <w:sz w:val="24"/>
          <w:szCs w:val="24"/>
          <w:u w:val="single"/>
        </w:rPr>
        <w:t xml:space="preserve">0%（权重） </w:t>
      </w:r>
      <w:r>
        <w:rPr>
          <w:rFonts w:hint="eastAsia" w:asciiTheme="minorEastAsia" w:hAnsiTheme="minorEastAsia" w:eastAsiaTheme="minorEastAsia" w:cstheme="minorEastAsia"/>
          <w:sz w:val="24"/>
          <w:szCs w:val="24"/>
        </w:rPr>
        <w:t>（四舍五入保留两位小数）。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4、技术分按算术平均值计算，分值四舍五入保留两位小数。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5、商务报价分统一采用低价优先法计算直接取得，与技术分相加为供应商的综合得分（四舍五入保留两位小数）。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6、综合得分最高的供应商推荐为项目预成交人并出具评审磋商报告。</w:t>
      </w:r>
    </w:p>
    <w:p>
      <w:pPr>
        <w:snapToGrid w:val="0"/>
        <w:spacing w:line="520" w:lineRule="exact"/>
        <w:ind w:firstLine="480"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7、确定成交候选人的特殊情况处理： </w:t>
      </w:r>
    </w:p>
    <w:p>
      <w:pPr>
        <w:snapToGrid w:val="0"/>
        <w:spacing w:line="520" w:lineRule="exact"/>
        <w:ind w:firstLine="480"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（1）若总分相同，则按最终报价响应得分高者优先中标。</w:t>
      </w:r>
    </w:p>
    <w:p>
      <w:pPr>
        <w:snapToGrid w:val="0"/>
        <w:spacing w:line="520" w:lineRule="exact"/>
        <w:ind w:firstLine="480"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（2）若总分且最终报价响应得分相同，则采取现场抽签的方式确定（投标供应商的抽签顺序分别为各投标供应商递交响应文件签到顺序号）。</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8、磋商评审时，评委对评审的细则若有争议，由磋商小组集体讨论确定，并对未尽情况有最终解释权。</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9、对落标的供应商不做落标原因的解释。</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四、综合评分评审标准</w:t>
      </w:r>
    </w:p>
    <w:p>
      <w:pPr>
        <w:numPr>
          <w:ilvl w:val="0"/>
          <w:numId w:val="3"/>
        </w:numPr>
        <w:snapToGrid w:val="0"/>
        <w:spacing w:line="480" w:lineRule="exact"/>
        <w:ind w:firstLine="484" w:firstLineChars="202"/>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技术分：（</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0分）</w:t>
      </w:r>
    </w:p>
    <w:tbl>
      <w:tblPr>
        <w:tblStyle w:val="20"/>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527"/>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3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lang w:bidi="ar"/>
              </w:rPr>
            </w:pPr>
            <w:r>
              <w:rPr>
                <w:rFonts w:hint="eastAsia" w:ascii="宋体" w:hAnsi="宋体"/>
                <w:b/>
                <w:bCs/>
                <w:sz w:val="24"/>
              </w:rPr>
              <w:t>评分项目</w:t>
            </w:r>
          </w:p>
        </w:tc>
        <w:tc>
          <w:tcPr>
            <w:tcW w:w="57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运维技术方案（35分）</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机房</w:t>
            </w:r>
            <w:r>
              <w:rPr>
                <w:rFonts w:ascii="宋体" w:hAnsi="宋体"/>
                <w:color w:val="000000"/>
                <w:sz w:val="24"/>
              </w:rPr>
              <w:t>维护保障方案</w:t>
            </w:r>
          </w:p>
          <w:p>
            <w:pPr>
              <w:jc w:val="center"/>
              <w:rPr>
                <w:rFonts w:ascii="宋体" w:hAnsi="宋体"/>
                <w:color w:val="000000"/>
                <w:sz w:val="24"/>
              </w:rPr>
            </w:pPr>
            <w:r>
              <w:rPr>
                <w:rFonts w:hint="eastAsia" w:ascii="宋体" w:hAnsi="宋体"/>
                <w:color w:val="000000"/>
                <w:sz w:val="24"/>
              </w:rPr>
              <w:t>（10分）</w:t>
            </w:r>
          </w:p>
        </w:tc>
        <w:tc>
          <w:tcPr>
            <w:tcW w:w="57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根据投标人提供的机房维护方案、服务构思、服务方法等方面进行综合评价（优得10分、良得6分、一般得3分、没有不得分）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Merge w:val="continue"/>
            <w:tcBorders>
              <w:left w:val="single" w:color="auto" w:sz="4" w:space="0"/>
              <w:right w:val="single" w:color="auto" w:sz="4" w:space="0"/>
            </w:tcBorders>
            <w:vAlign w:val="center"/>
          </w:tcPr>
          <w:p>
            <w:pPr>
              <w:jc w:val="center"/>
              <w:rPr>
                <w:rFonts w:ascii="宋体" w:hAnsi="宋体"/>
                <w:color w:val="000000"/>
                <w:sz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机房网络维护</w:t>
            </w:r>
            <w:r>
              <w:rPr>
                <w:rFonts w:ascii="宋体" w:hAnsi="宋体"/>
                <w:color w:val="000000"/>
                <w:sz w:val="24"/>
              </w:rPr>
              <w:t>保障方案</w:t>
            </w:r>
            <w:r>
              <w:rPr>
                <w:rFonts w:hint="eastAsia" w:ascii="宋体" w:hAnsi="宋体"/>
                <w:color w:val="000000"/>
                <w:sz w:val="24"/>
              </w:rPr>
              <w:t>（10分）</w:t>
            </w:r>
          </w:p>
        </w:tc>
        <w:tc>
          <w:tcPr>
            <w:tcW w:w="57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根据投标人对</w:t>
            </w:r>
            <w:r>
              <w:rPr>
                <w:rFonts w:ascii="宋体" w:hAnsi="宋体"/>
                <w:color w:val="000000"/>
                <w:sz w:val="24"/>
              </w:rPr>
              <w:t>整体网络架构的理解，</w:t>
            </w:r>
            <w:r>
              <w:rPr>
                <w:rFonts w:hint="eastAsia" w:ascii="宋体" w:hAnsi="宋体"/>
                <w:color w:val="000000"/>
                <w:sz w:val="24"/>
              </w:rPr>
              <w:t>根据投标人提供的中心机房网络现状</w:t>
            </w:r>
            <w:r>
              <w:rPr>
                <w:rFonts w:ascii="宋体" w:hAnsi="宋体"/>
                <w:color w:val="000000"/>
                <w:sz w:val="24"/>
              </w:rPr>
              <w:t>分析、维护</w:t>
            </w:r>
            <w:r>
              <w:rPr>
                <w:rFonts w:hint="eastAsia" w:ascii="宋体" w:hAnsi="宋体"/>
                <w:color w:val="000000"/>
                <w:sz w:val="24"/>
              </w:rPr>
              <w:t>方案、服务构思、服务方法等方面进行综合评价（优得10分、良得6分、一般得3分、没有不得分）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Merge w:val="continue"/>
            <w:tcBorders>
              <w:left w:val="single" w:color="auto" w:sz="4" w:space="0"/>
              <w:right w:val="single" w:color="auto" w:sz="4" w:space="0"/>
            </w:tcBorders>
            <w:vAlign w:val="center"/>
          </w:tcPr>
          <w:p>
            <w:pPr>
              <w:jc w:val="center"/>
              <w:rPr>
                <w:rFonts w:ascii="宋体" w:hAnsi="宋体"/>
                <w:color w:val="000000"/>
                <w:sz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运维资料归档整合方案</w:t>
            </w:r>
          </w:p>
          <w:p>
            <w:pPr>
              <w:jc w:val="center"/>
              <w:rPr>
                <w:rFonts w:ascii="宋体" w:hAnsi="宋体"/>
                <w:color w:val="000000"/>
                <w:sz w:val="24"/>
              </w:rPr>
            </w:pPr>
            <w:r>
              <w:rPr>
                <w:rFonts w:hint="eastAsia" w:ascii="宋体" w:hAnsi="宋体"/>
                <w:color w:val="000000"/>
                <w:sz w:val="24"/>
              </w:rPr>
              <w:t>（10分）</w:t>
            </w:r>
          </w:p>
        </w:tc>
        <w:tc>
          <w:tcPr>
            <w:tcW w:w="57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具有完善的IT资料管理系统；便于各方及时、快速的了解项目进展与服务要求进度，便于项目施工、服务运维的历史追溯（优得10分、良得6分、一般得3分，没有不得分）。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Merge w:val="continue"/>
            <w:tcBorders>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培训和预警方案</w:t>
            </w:r>
          </w:p>
          <w:p>
            <w:pPr>
              <w:jc w:val="center"/>
              <w:rPr>
                <w:rFonts w:ascii="宋体" w:hAnsi="宋体"/>
                <w:color w:val="000000"/>
                <w:sz w:val="24"/>
              </w:rPr>
            </w:pPr>
            <w:r>
              <w:rPr>
                <w:rFonts w:hint="eastAsia" w:ascii="宋体" w:hAnsi="宋体"/>
                <w:color w:val="000000"/>
                <w:sz w:val="24"/>
              </w:rPr>
              <w:t>（5分）</w:t>
            </w:r>
          </w:p>
        </w:tc>
        <w:tc>
          <w:tcPr>
            <w:tcW w:w="57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r>
              <w:rPr>
                <w:rFonts w:hint="eastAsia" w:ascii="宋体" w:hAnsi="宋体"/>
                <w:color w:val="000000"/>
                <w:sz w:val="24"/>
              </w:rPr>
              <w:t>根据投标人提供的故障预警</w:t>
            </w:r>
            <w:r>
              <w:rPr>
                <w:rFonts w:ascii="宋体" w:hAnsi="宋体"/>
                <w:color w:val="000000"/>
                <w:sz w:val="24"/>
              </w:rPr>
              <w:t>机制、</w:t>
            </w:r>
            <w:r>
              <w:rPr>
                <w:rFonts w:hint="eastAsia" w:ascii="宋体" w:hAnsi="宋体"/>
                <w:color w:val="000000"/>
                <w:sz w:val="24"/>
              </w:rPr>
              <w:t>培训</w:t>
            </w:r>
            <w:r>
              <w:rPr>
                <w:rFonts w:ascii="宋体" w:hAnsi="宋体"/>
                <w:color w:val="000000"/>
                <w:sz w:val="24"/>
              </w:rPr>
              <w:t>方案</w:t>
            </w:r>
            <w:r>
              <w:rPr>
                <w:rFonts w:hint="eastAsia" w:ascii="宋体" w:hAnsi="宋体"/>
                <w:color w:val="000000"/>
                <w:sz w:val="24"/>
              </w:rPr>
              <w:t>等方面进行综合评价（优得5分、良得3分、一般得1分、没有不得分）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Merge w:val="restart"/>
            <w:tcBorders>
              <w:top w:val="single" w:color="auto" w:sz="4" w:space="0"/>
              <w:left w:val="single" w:color="auto" w:sz="4" w:space="0"/>
              <w:right w:val="single" w:color="auto" w:sz="4" w:space="0"/>
            </w:tcBorders>
            <w:vAlign w:val="center"/>
          </w:tcPr>
          <w:p>
            <w:pPr>
              <w:jc w:val="center"/>
              <w:rPr>
                <w:rFonts w:hint="eastAsia" w:ascii="宋体" w:hAnsi="宋体"/>
                <w:color w:val="000000"/>
                <w:sz w:val="24"/>
              </w:rPr>
            </w:pPr>
            <w:r>
              <w:rPr>
                <w:rFonts w:hint="eastAsia" w:ascii="宋体" w:hAnsi="宋体"/>
                <w:color w:val="000000"/>
                <w:sz w:val="24"/>
              </w:rPr>
              <w:t>综合实力</w:t>
            </w:r>
          </w:p>
          <w:p>
            <w:pPr>
              <w:jc w:val="center"/>
              <w:rPr>
                <w:rFonts w:ascii="宋体" w:hAnsi="宋体"/>
                <w:color w:val="000000"/>
                <w:sz w:val="24"/>
              </w:rPr>
            </w:pPr>
            <w:r>
              <w:rPr>
                <w:rFonts w:hint="eastAsia" w:ascii="宋体" w:hAnsi="宋体"/>
                <w:color w:val="000000"/>
                <w:sz w:val="24"/>
              </w:rPr>
              <w:t>（25分）</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管理体系</w:t>
            </w:r>
          </w:p>
          <w:p>
            <w:pPr>
              <w:jc w:val="center"/>
              <w:rPr>
                <w:rFonts w:ascii="宋体" w:hAnsi="宋体"/>
                <w:color w:val="000000"/>
                <w:sz w:val="24"/>
              </w:rPr>
            </w:pPr>
            <w:r>
              <w:rPr>
                <w:rFonts w:hint="eastAsia" w:ascii="宋体" w:hAnsi="宋体"/>
                <w:color w:val="000000"/>
                <w:sz w:val="24"/>
              </w:rPr>
              <w:t>（4分）</w:t>
            </w:r>
          </w:p>
        </w:tc>
        <w:tc>
          <w:tcPr>
            <w:tcW w:w="5746" w:type="dxa"/>
            <w:tcBorders>
              <w:top w:val="single" w:color="auto" w:sz="4" w:space="0"/>
              <w:left w:val="single" w:color="auto" w:sz="4" w:space="0"/>
              <w:bottom w:val="single" w:color="auto" w:sz="4" w:space="0"/>
              <w:right w:val="single" w:color="auto" w:sz="4" w:space="0"/>
            </w:tcBorders>
          </w:tcPr>
          <w:p>
            <w:pPr>
              <w:rPr>
                <w:rFonts w:ascii="宋体" w:hAnsi="宋体"/>
                <w:color w:val="000000"/>
                <w:sz w:val="24"/>
              </w:rPr>
            </w:pPr>
            <w:r>
              <w:rPr>
                <w:rFonts w:hint="eastAsia" w:ascii="宋体" w:hAnsi="宋体"/>
                <w:color w:val="000000"/>
                <w:sz w:val="24"/>
              </w:rPr>
              <w:t>投标人具有质量管理</w:t>
            </w:r>
            <w:r>
              <w:rPr>
                <w:rFonts w:ascii="宋体" w:hAnsi="宋体"/>
                <w:color w:val="000000"/>
                <w:sz w:val="24"/>
              </w:rPr>
              <w:t>体系认证证书</w:t>
            </w:r>
            <w:r>
              <w:rPr>
                <w:rFonts w:hint="eastAsia" w:ascii="宋体" w:hAnsi="宋体"/>
                <w:color w:val="000000"/>
                <w:sz w:val="24"/>
              </w:rPr>
              <w:t>的得2分，未提供者不得分。</w:t>
            </w:r>
          </w:p>
          <w:p>
            <w:pPr>
              <w:rPr>
                <w:rFonts w:ascii="宋体" w:hAnsi="宋体"/>
                <w:color w:val="000000"/>
                <w:sz w:val="24"/>
              </w:rPr>
            </w:pPr>
            <w:r>
              <w:rPr>
                <w:rFonts w:hint="eastAsia" w:ascii="宋体" w:hAnsi="宋体"/>
                <w:color w:val="000000"/>
                <w:sz w:val="24"/>
              </w:rPr>
              <w:t>投标人</w:t>
            </w:r>
            <w:r>
              <w:rPr>
                <w:rFonts w:ascii="宋体" w:hAnsi="宋体"/>
                <w:color w:val="000000"/>
                <w:sz w:val="24"/>
              </w:rPr>
              <w:t>总部</w:t>
            </w:r>
            <w:r>
              <w:rPr>
                <w:rFonts w:hint="eastAsia" w:ascii="宋体" w:hAnsi="宋体"/>
                <w:color w:val="000000"/>
                <w:sz w:val="24"/>
              </w:rPr>
              <w:t>注册</w:t>
            </w:r>
            <w:r>
              <w:rPr>
                <w:rFonts w:ascii="宋体" w:hAnsi="宋体"/>
                <w:color w:val="000000"/>
                <w:sz w:val="24"/>
              </w:rPr>
              <w:t>在南通的得</w:t>
            </w:r>
            <w:r>
              <w:rPr>
                <w:rFonts w:hint="eastAsia" w:ascii="宋体" w:hAnsi="宋体"/>
                <w:color w:val="000000"/>
                <w:sz w:val="24"/>
              </w:rPr>
              <w:t xml:space="preserve">2分，未提供者不得分。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dxa"/>
            <w:vMerge w:val="continue"/>
            <w:tcBorders>
              <w:top w:val="single" w:color="auto" w:sz="4" w:space="0"/>
              <w:left w:val="single" w:color="auto" w:sz="4" w:space="0"/>
              <w:right w:val="single" w:color="auto" w:sz="4" w:space="0"/>
            </w:tcBorders>
            <w:vAlign w:val="center"/>
          </w:tcPr>
          <w:p>
            <w:pPr>
              <w:jc w:val="center"/>
              <w:rPr>
                <w:rFonts w:ascii="宋体" w:hAnsi="宋体"/>
                <w:color w:val="000000"/>
                <w:sz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涉密资质</w:t>
            </w:r>
          </w:p>
          <w:p>
            <w:pPr>
              <w:jc w:val="center"/>
              <w:rPr>
                <w:rFonts w:ascii="宋体" w:hAnsi="宋体"/>
                <w:color w:val="000000"/>
                <w:sz w:val="24"/>
              </w:rPr>
            </w:pPr>
            <w:r>
              <w:rPr>
                <w:rFonts w:hint="eastAsia" w:ascii="宋体" w:hAnsi="宋体"/>
                <w:color w:val="000000"/>
                <w:sz w:val="24"/>
              </w:rPr>
              <w:t>（5分）</w:t>
            </w:r>
          </w:p>
        </w:tc>
        <w:tc>
          <w:tcPr>
            <w:tcW w:w="5746" w:type="dxa"/>
            <w:tcBorders>
              <w:top w:val="single" w:color="auto" w:sz="4" w:space="0"/>
              <w:left w:val="single" w:color="auto" w:sz="4" w:space="0"/>
              <w:bottom w:val="single" w:color="auto" w:sz="4" w:space="0"/>
              <w:right w:val="single" w:color="auto" w:sz="4" w:space="0"/>
            </w:tcBorders>
          </w:tcPr>
          <w:p>
            <w:pPr>
              <w:rPr>
                <w:rFonts w:ascii="宋体" w:hAnsi="宋体"/>
                <w:color w:val="000000"/>
                <w:sz w:val="24"/>
              </w:rPr>
            </w:pPr>
            <w:r>
              <w:rPr>
                <w:rFonts w:hint="eastAsia" w:ascii="宋体" w:hAnsi="宋体"/>
                <w:color w:val="000000"/>
                <w:sz w:val="24"/>
              </w:rPr>
              <w:t>投标人的涉密信息系统集成资质证书中业务种类包含“运行维护”的，得5分。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1553" w:type="dxa"/>
            <w:vMerge w:val="continue"/>
            <w:tcBorders>
              <w:left w:val="single" w:color="auto" w:sz="4" w:space="0"/>
              <w:right w:val="single" w:color="auto" w:sz="4" w:space="0"/>
            </w:tcBorders>
            <w:vAlign w:val="center"/>
          </w:tcPr>
          <w:p>
            <w:pPr>
              <w:jc w:val="center"/>
              <w:rPr>
                <w:rFonts w:ascii="宋体" w:hAnsi="宋体"/>
                <w:color w:val="000000"/>
                <w:sz w:val="24"/>
              </w:rPr>
            </w:pPr>
          </w:p>
        </w:tc>
        <w:tc>
          <w:tcPr>
            <w:tcW w:w="1527" w:type="dxa"/>
            <w:tcBorders>
              <w:top w:val="single" w:color="auto" w:sz="4" w:space="0"/>
              <w:left w:val="single" w:color="auto" w:sz="4" w:space="0"/>
              <w:right w:val="single" w:color="auto" w:sz="4" w:space="0"/>
            </w:tcBorders>
            <w:vAlign w:val="center"/>
          </w:tcPr>
          <w:p>
            <w:pPr>
              <w:jc w:val="center"/>
              <w:rPr>
                <w:rFonts w:ascii="宋体" w:hAnsi="宋体"/>
                <w:color w:val="000000"/>
                <w:sz w:val="24"/>
              </w:rPr>
            </w:pPr>
            <w:r>
              <w:rPr>
                <w:rFonts w:ascii="宋体" w:hAnsi="宋体"/>
                <w:color w:val="000000"/>
                <w:sz w:val="24"/>
              </w:rPr>
              <w:t>技术工程师</w:t>
            </w:r>
          </w:p>
          <w:p>
            <w:pPr>
              <w:jc w:val="center"/>
              <w:rPr>
                <w:rFonts w:ascii="宋体" w:hAnsi="宋体"/>
                <w:color w:val="000000"/>
                <w:sz w:val="24"/>
              </w:rPr>
            </w:pPr>
            <w:r>
              <w:rPr>
                <w:rFonts w:ascii="宋体" w:hAnsi="宋体"/>
                <w:color w:val="000000"/>
                <w:sz w:val="24"/>
              </w:rPr>
              <w:t>认证</w:t>
            </w:r>
          </w:p>
          <w:p>
            <w:pPr>
              <w:jc w:val="center"/>
              <w:rPr>
                <w:rFonts w:ascii="宋体" w:hAnsi="宋体"/>
                <w:color w:val="000000"/>
                <w:sz w:val="24"/>
              </w:rPr>
            </w:pPr>
            <w:r>
              <w:rPr>
                <w:rFonts w:ascii="宋体" w:hAnsi="宋体"/>
                <w:color w:val="000000"/>
                <w:sz w:val="24"/>
              </w:rPr>
              <w:t>（</w:t>
            </w:r>
            <w:r>
              <w:rPr>
                <w:rFonts w:hint="eastAsia" w:ascii="宋体" w:hAnsi="宋体"/>
                <w:color w:val="000000"/>
                <w:sz w:val="24"/>
              </w:rPr>
              <w:t>16分</w:t>
            </w:r>
            <w:r>
              <w:rPr>
                <w:rFonts w:ascii="宋体" w:hAnsi="宋体"/>
                <w:color w:val="000000"/>
                <w:sz w:val="24"/>
              </w:rPr>
              <w:t>）</w:t>
            </w:r>
          </w:p>
        </w:tc>
        <w:tc>
          <w:tcPr>
            <w:tcW w:w="5746" w:type="dxa"/>
            <w:tcBorders>
              <w:top w:val="single" w:color="auto" w:sz="4" w:space="0"/>
              <w:left w:val="single" w:color="auto" w:sz="4" w:space="0"/>
              <w:bottom w:val="single" w:color="auto" w:sz="4" w:space="0"/>
              <w:right w:val="single" w:color="auto" w:sz="4" w:space="0"/>
            </w:tcBorders>
          </w:tcPr>
          <w:p>
            <w:pPr>
              <w:rPr>
                <w:rFonts w:ascii="宋体" w:hAnsi="宋体"/>
                <w:color w:val="000000"/>
                <w:sz w:val="24"/>
              </w:rPr>
            </w:pPr>
            <w:r>
              <w:rPr>
                <w:rFonts w:hint="eastAsia" w:ascii="宋体" w:hAnsi="宋体"/>
                <w:color w:val="000000"/>
                <w:sz w:val="24"/>
              </w:rPr>
              <w:t>具备华三或华为工程师认证的（包含初级和中级），每个</w:t>
            </w:r>
            <w:r>
              <w:rPr>
                <w:rFonts w:ascii="宋体" w:hAnsi="宋体"/>
                <w:color w:val="000000"/>
                <w:sz w:val="24"/>
              </w:rPr>
              <w:t>得</w:t>
            </w:r>
            <w:r>
              <w:rPr>
                <w:rFonts w:hint="eastAsia" w:ascii="宋体" w:hAnsi="宋体"/>
                <w:color w:val="000000"/>
                <w:sz w:val="24"/>
              </w:rPr>
              <w:t>1分</w:t>
            </w:r>
            <w:r>
              <w:rPr>
                <w:rFonts w:ascii="宋体" w:hAnsi="宋体"/>
                <w:color w:val="000000"/>
                <w:sz w:val="24"/>
              </w:rPr>
              <w:t>，最高</w:t>
            </w:r>
            <w:r>
              <w:rPr>
                <w:rFonts w:hint="eastAsia" w:ascii="宋体" w:hAnsi="宋体"/>
                <w:color w:val="000000"/>
                <w:sz w:val="24"/>
              </w:rPr>
              <w:t>得4分，未提供者不得分</w:t>
            </w:r>
          </w:p>
          <w:p>
            <w:pPr>
              <w:rPr>
                <w:rFonts w:ascii="宋体" w:hAnsi="宋体"/>
                <w:color w:val="000000"/>
                <w:sz w:val="24"/>
              </w:rPr>
            </w:pPr>
            <w:r>
              <w:rPr>
                <w:rFonts w:hint="eastAsia" w:ascii="宋体" w:hAnsi="宋体"/>
                <w:color w:val="000000"/>
                <w:sz w:val="24"/>
              </w:rPr>
              <w:t>具备华三或华为高级工程师认证的（限：</w:t>
            </w:r>
            <w:r>
              <w:rPr>
                <w:rFonts w:ascii="宋体" w:hAnsi="宋体"/>
                <w:color w:val="000000"/>
                <w:sz w:val="24"/>
              </w:rPr>
              <w:t>H3CTE</w:t>
            </w:r>
            <w:r>
              <w:rPr>
                <w:rFonts w:hint="eastAsia" w:ascii="宋体" w:hAnsi="宋体"/>
                <w:color w:val="000000"/>
                <w:sz w:val="24"/>
              </w:rPr>
              <w:t>、</w:t>
            </w:r>
            <w:r>
              <w:rPr>
                <w:rFonts w:ascii="宋体" w:hAnsi="宋体"/>
                <w:color w:val="000000"/>
                <w:sz w:val="24"/>
              </w:rPr>
              <w:t>HCIE</w:t>
            </w:r>
            <w:r>
              <w:rPr>
                <w:rFonts w:hint="eastAsia" w:ascii="宋体" w:hAnsi="宋体"/>
                <w:color w:val="000000"/>
                <w:sz w:val="24"/>
              </w:rPr>
              <w:t>），得2分，最高得4分，未提供者不得分；</w:t>
            </w:r>
          </w:p>
          <w:p>
            <w:pPr>
              <w:rPr>
                <w:rFonts w:ascii="宋体" w:hAnsi="宋体"/>
                <w:color w:val="000000"/>
                <w:sz w:val="24"/>
              </w:rPr>
            </w:pPr>
            <w:r>
              <w:rPr>
                <w:rFonts w:hint="eastAsia" w:ascii="宋体" w:hAnsi="宋体"/>
                <w:color w:val="000000"/>
                <w:sz w:val="24"/>
              </w:rPr>
              <w:t>具备有ITIL或者ITSS运维资质证书的每个得4分，最高得8分，未提供者不得分；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553" w:type="dxa"/>
            <w:tcBorders>
              <w:top w:val="single" w:color="auto" w:sz="4" w:space="0"/>
              <w:left w:val="single" w:color="auto" w:sz="4" w:space="0"/>
              <w:right w:val="single" w:color="auto" w:sz="4" w:space="0"/>
            </w:tcBorders>
            <w:vAlign w:val="center"/>
          </w:tcPr>
          <w:p>
            <w:pPr>
              <w:jc w:val="center"/>
              <w:rPr>
                <w:rFonts w:hint="eastAsia" w:ascii="宋体" w:hAnsi="宋体"/>
                <w:color w:val="000000"/>
                <w:sz w:val="24"/>
              </w:rPr>
            </w:pPr>
            <w:r>
              <w:rPr>
                <w:rFonts w:hint="eastAsia" w:ascii="宋体" w:hAnsi="宋体"/>
                <w:color w:val="000000"/>
                <w:sz w:val="24"/>
              </w:rPr>
              <w:t>案例</w:t>
            </w:r>
          </w:p>
          <w:p>
            <w:pPr>
              <w:jc w:val="center"/>
              <w:rPr>
                <w:rFonts w:ascii="宋体" w:hAnsi="宋体"/>
                <w:color w:val="000000"/>
                <w:sz w:val="24"/>
              </w:rPr>
            </w:pPr>
            <w:r>
              <w:rPr>
                <w:rFonts w:hint="eastAsia" w:ascii="宋体" w:hAnsi="宋体"/>
                <w:color w:val="000000"/>
                <w:sz w:val="24"/>
              </w:rPr>
              <w:t>（10分）</w:t>
            </w:r>
          </w:p>
        </w:tc>
        <w:tc>
          <w:tcPr>
            <w:tcW w:w="7273" w:type="dxa"/>
            <w:gridSpan w:val="2"/>
            <w:tcBorders>
              <w:top w:val="single" w:color="auto" w:sz="4" w:space="0"/>
              <w:left w:val="single" w:color="auto" w:sz="4" w:space="0"/>
            </w:tcBorders>
            <w:vAlign w:val="center"/>
          </w:tcPr>
          <w:p>
            <w:pPr>
              <w:rPr>
                <w:rFonts w:ascii="宋体" w:hAnsi="宋体"/>
                <w:color w:val="000000"/>
                <w:sz w:val="24"/>
              </w:rPr>
            </w:pPr>
            <w:r>
              <w:rPr>
                <w:rFonts w:hint="eastAsia" w:ascii="宋体" w:hAnsi="宋体"/>
                <w:color w:val="000000"/>
                <w:sz w:val="24"/>
              </w:rPr>
              <w:t>具有市、县（区）级政府电子政务信息化类运维案例，有一个得4分，最多得8分，不提供者不得分。</w:t>
            </w:r>
          </w:p>
          <w:p>
            <w:pPr>
              <w:rPr>
                <w:rFonts w:ascii="宋体" w:hAnsi="宋体"/>
                <w:color w:val="000000"/>
                <w:sz w:val="24"/>
              </w:rPr>
            </w:pPr>
            <w:r>
              <w:rPr>
                <w:rFonts w:hint="eastAsia" w:ascii="宋体" w:hAnsi="宋体"/>
                <w:color w:val="000000"/>
                <w:sz w:val="24"/>
              </w:rPr>
              <w:t>投标人提供近2年财务审计报告的得2分，不能提供者不得分。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b/>
                <w:bCs/>
                <w:sz w:val="24"/>
              </w:rPr>
            </w:pPr>
            <w:r>
              <w:rPr>
                <w:rFonts w:hint="eastAsia" w:ascii="宋体" w:hAnsi="宋体"/>
                <w:b/>
                <w:bCs/>
                <w:sz w:val="24"/>
              </w:rPr>
              <w:t>备注：1.“</w:t>
            </w:r>
            <w:r>
              <w:rPr>
                <w:rFonts w:hint="eastAsia" w:ascii="宋体" w:hAnsi="宋体"/>
                <w:b/>
                <w:bCs/>
                <w:color w:val="000000"/>
                <w:sz w:val="24"/>
              </w:rPr>
              <w:t>管理体系及技术工程师</w:t>
            </w:r>
            <w:r>
              <w:rPr>
                <w:rFonts w:hint="eastAsia" w:ascii="宋体" w:hAnsi="宋体"/>
                <w:b/>
                <w:bCs/>
                <w:sz w:val="24"/>
              </w:rPr>
              <w:t>”中所涉及的证书须提供原件核查；2.“公司实力与业绩”中所涉及的证书需提供原件核查，“案例”中的证明资料需提供最终用户联系人、案例合同复印件核查。否则不具备得分条件。</w:t>
            </w:r>
          </w:p>
        </w:tc>
      </w:tr>
    </w:tbl>
    <w:p>
      <w:pPr>
        <w:snapToGrid w:val="0"/>
        <w:spacing w:line="480" w:lineRule="exact"/>
        <w:outlineLvl w:val="2"/>
        <w:rPr>
          <w:rFonts w:hint="eastAsia" w:asciiTheme="minorEastAsia" w:hAnsiTheme="minorEastAsia" w:eastAsiaTheme="minorEastAsia" w:cstheme="minorEastAsia"/>
          <w:sz w:val="24"/>
          <w:szCs w:val="24"/>
        </w:rPr>
      </w:pPr>
    </w:p>
    <w:p>
      <w:pPr>
        <w:snapToGrid w:val="0"/>
        <w:spacing w:line="360" w:lineRule="auto"/>
        <w:ind w:firstLine="562"/>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特别提醒：技术响应评分中所涉及相关资料等证明材料均须提供原件复印件并将原件带至开标现场备查，未携带原件或因携带原件不全所引起的后果由投标供应商自行承担。</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（二）商务报价分：（</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0分）</w:t>
      </w:r>
    </w:p>
    <w:p>
      <w:pPr>
        <w:snapToGrid w:val="0"/>
        <w:spacing w:line="480" w:lineRule="exact"/>
        <w:ind w:firstLine="48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b/>
          <w:bCs/>
          <w:sz w:val="24"/>
          <w:szCs w:val="24"/>
        </w:rPr>
        <w:t>本次项目最高限价</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val="en-US" w:eastAsia="zh-CN"/>
        </w:rPr>
        <w:t>19.5</w:t>
      </w:r>
      <w:r>
        <w:rPr>
          <w:rFonts w:hint="eastAsia" w:asciiTheme="minorEastAsia" w:hAnsiTheme="minorEastAsia" w:eastAsiaTheme="minorEastAsia" w:cstheme="minorEastAsia"/>
          <w:b/>
          <w:bCs/>
          <w:sz w:val="24"/>
          <w:szCs w:val="24"/>
          <w:highlight w:val="none"/>
        </w:rPr>
        <w:t>万元</w:t>
      </w:r>
      <w:r>
        <w:rPr>
          <w:rFonts w:hint="eastAsia" w:asciiTheme="minorEastAsia" w:hAnsiTheme="minorEastAsia" w:eastAsiaTheme="minorEastAsia" w:cstheme="minorEastAsia"/>
          <w:b/>
          <w:bCs/>
          <w:sz w:val="24"/>
          <w:szCs w:val="24"/>
          <w:highlight w:val="none"/>
          <w:lang w:val="en-US" w:eastAsia="zh-CN"/>
        </w:rPr>
        <w:t>/年，</w:t>
      </w:r>
      <w:r>
        <w:rPr>
          <w:rFonts w:hint="eastAsia" w:asciiTheme="minorEastAsia" w:hAnsiTheme="minorEastAsia" w:eastAsiaTheme="minorEastAsia" w:cstheme="minorEastAsia"/>
          <w:b/>
          <w:bCs/>
          <w:sz w:val="24"/>
          <w:szCs w:val="24"/>
        </w:rPr>
        <w:t>超过限价作无效标处理。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2、满足磋商文件要求且最后报价最低的供应商的价格为磋商基准价，其商务报价分为满分。其他供应商的商务报价分统一按照下列公式计算：</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商务报价分 =（磋商基准价/最后磋商报价）×</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0%×100</w:t>
      </w:r>
    </w:p>
    <w:p>
      <w:pPr>
        <w:adjustRightInd w:val="0"/>
        <w:snapToGrid w:val="0"/>
        <w:spacing w:line="480" w:lineRule="exact"/>
        <w:ind w:firstLine="585"/>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五、出现下列情形之一的，作无效标处理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1、响应文件未按规定要求装订、密封、签署、盖章及主要资料不齐全的；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2、响应文件的资料有虚报或者谎报的；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3、响应文件中资格审查文件及技术响应文件出现磋商报价的内容；</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4、不具备磋商文件规定的资格要求的；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5、响应文件有重大漏项或重大不合理的；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6、项目技术、方案不满足项目需求中的要求，有重大偏离或保留的；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7、磋商响应报价超出项目预算的；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8、被认定为低于成本报价磋商竞标的；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9、供应商的磋商报价高于自己前一轮的；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10、不符合法律、法规和磋商文件中规定的其他实质性响应要求的；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11、磋商小组依据法律法规可以认定为无效投标的其他情况。</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六、出现下列情形之一的，作废标处理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1、供应商的报价均超出了采购预算，采购单位不能支付的；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2、因情况变化，不再符合规定的竞争性磋商采购方式所适用情形的；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3、出现影响采购公正的违法、违规行为的；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4、因重大变故，采购任务取消的；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5、磋商小组依据法律法规可以认定为废标的其他情况。</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七、成交通知</w:t>
      </w:r>
    </w:p>
    <w:p>
      <w:pPr>
        <w:spacing w:line="480" w:lineRule="exact"/>
        <w:ind w:firstLine="484" w:firstLineChars="20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kern w:val="0"/>
          <w:sz w:val="24"/>
          <w:szCs w:val="24"/>
        </w:rPr>
        <w:t>成交结果在江苏省南通市人民检察院官网公示</w:t>
      </w:r>
      <w:r>
        <w:rPr>
          <w:rFonts w:hint="eastAsia" w:asciiTheme="minorEastAsia" w:hAnsiTheme="minorEastAsia" w:eastAsiaTheme="minorEastAsia" w:cstheme="minorEastAsia"/>
          <w:b/>
          <w:kern w:val="0"/>
          <w:sz w:val="24"/>
          <w:szCs w:val="24"/>
          <w:u w:val="single"/>
          <w:lang w:val="en-US" w:eastAsia="zh-CN"/>
        </w:rPr>
        <w:t>1</w:t>
      </w:r>
      <w:r>
        <w:rPr>
          <w:rFonts w:hint="eastAsia" w:asciiTheme="minorEastAsia" w:hAnsiTheme="minorEastAsia" w:eastAsiaTheme="minorEastAsia" w:cstheme="minorEastAsia"/>
          <w:kern w:val="0"/>
          <w:sz w:val="24"/>
          <w:szCs w:val="24"/>
        </w:rPr>
        <w:t>个工作日。《成交通知书》一经发出，采购单位改变成交结果，或者中标人放弃成交的，各自承担相应的法律责任。《成交通知书》是采购合同的组成部分。</w:t>
      </w:r>
    </w:p>
    <w:p>
      <w:pPr>
        <w:numPr>
          <w:ilvl w:val="0"/>
          <w:numId w:val="4"/>
        </w:numPr>
        <w:snapToGrid w:val="0"/>
        <w:spacing w:line="520" w:lineRule="exact"/>
        <w:jc w:val="center"/>
        <w:rPr>
          <w:rFonts w:hint="eastAsia" w:asciiTheme="minorEastAsia" w:hAnsiTheme="minorEastAsia" w:eastAsiaTheme="minorEastAsia" w:cstheme="minorEastAsia"/>
          <w:b/>
          <w:iCs/>
          <w:w w:val="80"/>
          <w:sz w:val="44"/>
          <w:szCs w:val="44"/>
        </w:rPr>
      </w:pPr>
      <w:r>
        <w:rPr>
          <w:rFonts w:hint="eastAsia" w:asciiTheme="minorEastAsia" w:hAnsiTheme="minorEastAsia" w:eastAsiaTheme="minorEastAsia" w:cstheme="minorEastAsia"/>
          <w:b/>
          <w:w w:val="80"/>
          <w:kern w:val="44"/>
          <w:sz w:val="44"/>
          <w:szCs w:val="44"/>
        </w:rPr>
        <w:br w:type="page"/>
      </w:r>
      <w:r>
        <w:rPr>
          <w:rFonts w:hint="eastAsia" w:asciiTheme="minorEastAsia" w:hAnsiTheme="minorEastAsia" w:eastAsiaTheme="minorEastAsia" w:cstheme="minorEastAsia"/>
          <w:b/>
          <w:w w:val="80"/>
          <w:kern w:val="44"/>
          <w:sz w:val="44"/>
          <w:szCs w:val="44"/>
        </w:rPr>
        <w:t xml:space="preserve"> 合同主要条款</w:t>
      </w:r>
    </w:p>
    <w:p>
      <w:pPr>
        <w:pStyle w:val="13"/>
        <w:snapToGrid w:val="0"/>
        <w:spacing w:line="440" w:lineRule="exact"/>
        <w:ind w:firstLine="420"/>
        <w:rPr>
          <w:rFonts w:hint="eastAsia" w:asciiTheme="minorEastAsia" w:hAnsiTheme="minorEastAsia" w:eastAsiaTheme="minorEastAsia" w:cstheme="minorEastAsia"/>
          <w:b/>
          <w:color w:val="000000"/>
          <w:sz w:val="24"/>
          <w:szCs w:val="24"/>
        </w:rPr>
      </w:pPr>
    </w:p>
    <w:p>
      <w:pPr>
        <w:spacing w:line="360" w:lineRule="auto"/>
        <w:rPr>
          <w:rFonts w:ascii="宋体" w:hAnsi="宋体" w:cs="宋体"/>
          <w:szCs w:val="21"/>
        </w:rPr>
      </w:pPr>
      <w:r>
        <w:rPr>
          <w:rFonts w:hint="eastAsia" w:ascii="宋体" w:hAnsi="宋体" w:cs="宋体"/>
          <w:spacing w:val="46"/>
          <w:szCs w:val="21"/>
        </w:rPr>
        <w:t>甲方</w:t>
      </w:r>
      <w:r>
        <w:rPr>
          <w:rFonts w:hint="eastAsia" w:ascii="宋体" w:hAnsi="宋体" w:cs="宋体"/>
          <w:szCs w:val="21"/>
        </w:rPr>
        <w:t>：_________________</w:t>
      </w:r>
    </w:p>
    <w:p>
      <w:pPr>
        <w:spacing w:line="360" w:lineRule="auto"/>
        <w:rPr>
          <w:rFonts w:ascii="宋体" w:hAnsi="宋体" w:cs="宋体"/>
          <w:spacing w:val="46"/>
          <w:szCs w:val="21"/>
        </w:rPr>
      </w:pPr>
      <w:r>
        <w:rPr>
          <w:rFonts w:hint="eastAsia" w:ascii="宋体" w:hAnsi="宋体" w:cs="宋体"/>
          <w:spacing w:val="46"/>
          <w:szCs w:val="21"/>
        </w:rPr>
        <w:t>乙方：</w:t>
      </w:r>
      <w:r>
        <w:rPr>
          <w:rFonts w:hint="eastAsia" w:ascii="宋体" w:hAnsi="宋体" w:cs="宋体"/>
          <w:szCs w:val="21"/>
        </w:rPr>
        <w:t>__________________</w:t>
      </w:r>
    </w:p>
    <w:p>
      <w:pPr>
        <w:spacing w:line="360" w:lineRule="auto"/>
        <w:rPr>
          <w:rFonts w:ascii="宋体" w:hAnsi="宋体" w:cs="宋体"/>
          <w:szCs w:val="21"/>
        </w:rPr>
      </w:pPr>
      <w:r>
        <w:rPr>
          <w:rFonts w:hint="eastAsia" w:ascii="宋体" w:hAnsi="宋体" w:cs="宋体"/>
          <w:szCs w:val="21"/>
        </w:rPr>
        <w:t>签订时间：年月日</w:t>
      </w:r>
    </w:p>
    <w:p>
      <w:pPr>
        <w:spacing w:line="360" w:lineRule="auto"/>
        <w:rPr>
          <w:rFonts w:ascii="宋体" w:hAnsi="宋体" w:cs="宋体"/>
          <w:szCs w:val="21"/>
          <w:u w:val="single"/>
        </w:rPr>
      </w:pPr>
      <w:r>
        <w:rPr>
          <w:rFonts w:hint="eastAsia" w:ascii="宋体" w:hAnsi="宋体" w:cs="宋体"/>
          <w:szCs w:val="21"/>
        </w:rPr>
        <w:t>签订地点：</w:t>
      </w:r>
    </w:p>
    <w:p>
      <w:pPr>
        <w:autoSpaceDE w:val="0"/>
        <w:autoSpaceDN w:val="0"/>
        <w:adjustRightInd w:val="0"/>
        <w:spacing w:line="360" w:lineRule="auto"/>
        <w:ind w:firstLine="482"/>
        <w:rPr>
          <w:rFonts w:ascii="宋体" w:hAnsi="宋体" w:cs="宋体"/>
          <w:bCs/>
          <w:szCs w:val="21"/>
          <w:lang w:val="zh-CN"/>
        </w:rPr>
      </w:pPr>
    </w:p>
    <w:p>
      <w:pPr>
        <w:spacing w:line="360" w:lineRule="auto"/>
        <w:ind w:firstLine="420" w:firstLineChars="200"/>
        <w:rPr>
          <w:rFonts w:ascii="宋体" w:hAnsi="宋体" w:cs="宋体"/>
          <w:szCs w:val="21"/>
        </w:rPr>
      </w:pPr>
      <w:bookmarkStart w:id="20" w:name="_Toc424923196"/>
      <w:bookmarkStart w:id="21" w:name="_Toc260838394"/>
      <w:bookmarkStart w:id="22" w:name="_Toc293132509"/>
      <w:bookmarkStart w:id="23" w:name="_Toc424923058"/>
      <w:bookmarkStart w:id="24" w:name="_Toc291662807"/>
      <w:bookmarkStart w:id="25" w:name="_Toc236131379"/>
      <w:bookmarkStart w:id="26" w:name="_Toc297038048"/>
      <w:r>
        <w:rPr>
          <w:rFonts w:hint="eastAsia" w:ascii="宋体" w:hAnsi="宋体" w:cs="宋体"/>
          <w:szCs w:val="21"/>
        </w:rPr>
        <w:t>根据《中华人民共和国政府采购法》《合同法》及</w:t>
      </w:r>
      <w:r>
        <w:rPr>
          <w:rFonts w:hint="eastAsia" w:ascii="宋体" w:hAnsi="宋体" w:cs="宋体"/>
          <w:szCs w:val="21"/>
          <w:u w:val="single"/>
          <w:lang w:val="en-US" w:eastAsia="zh-CN"/>
        </w:rPr>
        <w:t xml:space="preserve">  </w:t>
      </w:r>
      <w:r>
        <w:rPr>
          <w:rFonts w:hint="eastAsia" w:ascii="宋体" w:hAnsi="宋体" w:cs="宋体"/>
          <w:szCs w:val="21"/>
        </w:rPr>
        <w:t>年</w:t>
      </w:r>
      <w:r>
        <w:rPr>
          <w:rFonts w:hint="eastAsia" w:ascii="宋体" w:hAnsi="宋体" w:cs="宋体"/>
          <w:szCs w:val="21"/>
          <w:u w:val="single"/>
          <w:lang w:val="en-US" w:eastAsia="zh-CN"/>
        </w:rPr>
        <w:t xml:space="preserve">  </w:t>
      </w:r>
      <w:r>
        <w:rPr>
          <w:rFonts w:hint="eastAsia" w:ascii="宋体" w:hAnsi="宋体" w:cs="宋体"/>
          <w:szCs w:val="21"/>
        </w:rPr>
        <w:t>月</w:t>
      </w:r>
      <w:r>
        <w:rPr>
          <w:rFonts w:hint="eastAsia" w:ascii="宋体" w:hAnsi="宋体" w:cs="宋体"/>
          <w:szCs w:val="21"/>
          <w:u w:val="single"/>
          <w:lang w:val="en-US" w:eastAsia="zh-CN"/>
        </w:rPr>
        <w:t xml:space="preserve">  </w:t>
      </w:r>
      <w:r>
        <w:rPr>
          <w:rFonts w:hint="eastAsia" w:ascii="宋体" w:hAnsi="宋体" w:cs="宋体"/>
          <w:szCs w:val="21"/>
        </w:rPr>
        <w:t>日</w:t>
      </w:r>
      <w:r>
        <w:rPr>
          <w:rFonts w:hint="eastAsia" w:ascii="宋体" w:hAnsi="宋体" w:cs="宋体"/>
          <w:szCs w:val="21"/>
          <w:u w:val="single"/>
          <w:lang w:val="en-US" w:eastAsia="zh-CN"/>
        </w:rPr>
        <w:t xml:space="preserve">            </w:t>
      </w:r>
      <w:r>
        <w:rPr>
          <w:rFonts w:hint="eastAsia" w:ascii="宋体" w:hAnsi="宋体" w:cs="宋体"/>
          <w:szCs w:val="21"/>
        </w:rPr>
        <w:t>（项目名称）项目的采购结果、采购文件，</w:t>
      </w:r>
      <w:bookmarkEnd w:id="20"/>
      <w:bookmarkEnd w:id="21"/>
      <w:bookmarkEnd w:id="22"/>
      <w:bookmarkEnd w:id="23"/>
      <w:bookmarkEnd w:id="24"/>
      <w:bookmarkEnd w:id="25"/>
      <w:bookmarkEnd w:id="26"/>
      <w:r>
        <w:rPr>
          <w:rFonts w:hint="eastAsia" w:ascii="宋体" w:hAnsi="宋体" w:cs="宋体"/>
          <w:szCs w:val="21"/>
        </w:rPr>
        <w:t>经过双方友好协商，同意签定本合同，合同内容如下</w:t>
      </w:r>
    </w:p>
    <w:p>
      <w:pPr>
        <w:spacing w:line="360" w:lineRule="auto"/>
        <w:rPr>
          <w:rFonts w:ascii="宋体" w:hAnsi="宋体" w:cs="宋体"/>
          <w:szCs w:val="21"/>
        </w:rPr>
      </w:pPr>
    </w:p>
    <w:p>
      <w:pPr>
        <w:spacing w:line="360" w:lineRule="auto"/>
        <w:rPr>
          <w:rFonts w:ascii="宋体" w:hAnsi="宋体" w:cs="宋体"/>
          <w:b/>
          <w:szCs w:val="21"/>
        </w:rPr>
      </w:pPr>
      <w:r>
        <w:rPr>
          <w:rFonts w:hint="eastAsia" w:ascii="宋体" w:hAnsi="宋体" w:cs="宋体"/>
          <w:szCs w:val="21"/>
        </w:rPr>
        <w:t xml:space="preserve">一、 </w:t>
      </w:r>
      <w:r>
        <w:rPr>
          <w:rFonts w:hint="eastAsia" w:ascii="宋体" w:hAnsi="宋体" w:cs="宋体"/>
          <w:b/>
          <w:szCs w:val="21"/>
        </w:rPr>
        <w:t>保修对象</w:t>
      </w:r>
    </w:p>
    <w:p>
      <w:pPr>
        <w:autoSpaceDE w:val="0"/>
        <w:autoSpaceDN w:val="0"/>
        <w:adjustRightInd w:val="0"/>
        <w:spacing w:line="360" w:lineRule="auto"/>
        <w:ind w:firstLine="482"/>
        <w:rPr>
          <w:rFonts w:hint="eastAsia" w:ascii="宋体" w:hAnsi="宋体" w:cs="宋体"/>
          <w:bCs/>
          <w:szCs w:val="21"/>
          <w:lang w:val="zh-CN" w:eastAsia="zh-CN"/>
        </w:rPr>
      </w:pPr>
      <w:r>
        <w:rPr>
          <w:rFonts w:hint="eastAsia" w:ascii="宋体" w:hAnsi="宋体" w:cs="宋体"/>
          <w:bCs/>
          <w:szCs w:val="21"/>
          <w:lang w:val="zh-CN"/>
        </w:rPr>
        <w:t>乙方承担甲方“</w:t>
      </w:r>
      <w:r>
        <w:rPr>
          <w:rFonts w:hint="eastAsia" w:ascii="宋体" w:hAnsi="宋体" w:cs="宋体"/>
          <w:bCs/>
          <w:szCs w:val="21"/>
          <w:lang w:val="zh-CN" w:eastAsia="zh-CN"/>
        </w:rPr>
        <w:t>智慧园区网络、信息系统运维及UPS、精密空调维保项目</w:t>
      </w:r>
      <w:r>
        <w:rPr>
          <w:rFonts w:hint="eastAsia" w:ascii="宋体" w:hAnsi="宋体" w:cs="宋体"/>
          <w:bCs/>
          <w:szCs w:val="21"/>
          <w:lang w:val="zh-CN"/>
        </w:rPr>
        <w:t>”的维护保修服务</w:t>
      </w:r>
      <w:r>
        <w:rPr>
          <w:rFonts w:hint="eastAsia" w:ascii="宋体" w:hAnsi="宋体" w:cs="宋体"/>
          <w:bCs/>
          <w:szCs w:val="21"/>
        </w:rPr>
        <w:t>。</w:t>
      </w:r>
      <w:r>
        <w:rPr>
          <w:rFonts w:hint="eastAsia" w:ascii="宋体" w:hAnsi="宋体" w:cs="宋体"/>
          <w:bCs/>
          <w:szCs w:val="21"/>
          <w:lang w:val="zh-CN"/>
        </w:rPr>
        <w:t>其服务对象为：</w:t>
      </w:r>
      <w:r>
        <w:rPr>
          <w:rFonts w:hint="eastAsia" w:ascii="宋体" w:hAnsi="宋体" w:cs="宋体"/>
          <w:bCs/>
          <w:szCs w:val="21"/>
          <w:lang w:val="zh-CN" w:eastAsia="zh-CN"/>
        </w:rPr>
        <w:t xml:space="preserve">南通市人民检察院智慧园区内机房运维服务、访问互联网的网络运维服务、工作网络的运维服务、涉密网络的运维服务和信息系统保障及UPS、精密空调维保。 </w:t>
      </w:r>
    </w:p>
    <w:p>
      <w:pPr>
        <w:pStyle w:val="5"/>
        <w:pageBreakBefore w:val="0"/>
        <w:kinsoku/>
        <w:wordWrap/>
        <w:overflowPunct/>
        <w:topLinePunct w:val="0"/>
        <w:autoSpaceDE/>
        <w:autoSpaceDN/>
        <w:bidi w:val="0"/>
        <w:adjustRightInd/>
        <w:snapToGrid/>
        <w:spacing w:before="0" w:after="0" w:line="360" w:lineRule="auto"/>
        <w:ind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1.1机房运维服务</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1、气体消防日常巡检服务</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日常巡检气体消防系统的运行状态，包括温感、烟感状态，并定期出具日常巡检报告。</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2、机房环境监控系统日常巡检服务</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机房环境监控系统的可达性、可用性监控，设置环境监控系统的合理阀值，对各类系统出具监测数据，以环境监控系统与设备阀值作比对，判断系统运行状态。</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3、机房内部设备线路的调整服务</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机房内部设备线路的调整与管理，新设备上架、设备位置调整，对应的线路需要进行快速、准确地调整，从而实现设备线路的管理。</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4、机房设备摆放规划与落实</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新设备上架、设备的位置调整，根据要求进行设备布局图的调整，调整完毕后，进行设备的摆放，确保设备摆放的合理性。</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5、机房设备线路标签标识与更新</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对于机房内的设备，包括端口、配线架、跳线、干线等，进行详细的编码，对于老旧标签、更换标签进行标识与更新，确保信息与实际情况同步。</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6、机房运行日志的汇总与分析</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对机房所有的信息进行月度汇总评估机房月度运行状态，并出具运行报告。</w:t>
      </w:r>
    </w:p>
    <w:p>
      <w:pPr>
        <w:pStyle w:val="5"/>
        <w:pageBreakBefore w:val="0"/>
        <w:kinsoku/>
        <w:wordWrap/>
        <w:overflowPunct/>
        <w:topLinePunct w:val="0"/>
        <w:autoSpaceDE/>
        <w:autoSpaceDN/>
        <w:bidi w:val="0"/>
        <w:adjustRightInd/>
        <w:snapToGrid/>
        <w:spacing w:before="0" w:after="0" w:line="360" w:lineRule="auto"/>
        <w:ind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1.2访问互联网的网络运维服务</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1、网络设备的常规巡检</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对机房互联网骨干设备、汇聚设备、接入设备的常规巡检。</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2、重要应用系统巡检</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对互联网部署的应用进行可达性、可用性的常规巡检。</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3、新系统上线集成</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对于以后新的应用系统部署，提供部署基础，包括IP规划全策略部署等的集成。</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4、应用系统网络调整</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根据信息化的发展，进行应用系统网络的调整部署。</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5、网络故障排除</w:t>
      </w:r>
    </w:p>
    <w:p>
      <w:pPr>
        <w:pageBreakBefore w:val="0"/>
        <w:kinsoku/>
        <w:wordWrap/>
        <w:overflowPunct/>
        <w:topLinePunct w:val="0"/>
        <w:autoSpaceDE/>
        <w:autoSpaceDN/>
        <w:bidi w:val="0"/>
        <w:adjustRightInd/>
        <w:snapToGrid/>
        <w:spacing w:line="360" w:lineRule="auto"/>
        <w:ind w:left="561" w:leftChars="267"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对于网络故障排除，包括故障定位、故障原因分析、故障排除等。</w:t>
      </w:r>
      <w:r>
        <w:rPr>
          <w:rFonts w:hint="eastAsia" w:asciiTheme="minorEastAsia" w:hAnsiTheme="minorEastAsia" w:eastAsiaTheme="minorEastAsia" w:cstheme="minorEastAsia"/>
          <w:sz w:val="21"/>
          <w:szCs w:val="21"/>
        </w:rPr>
        <w:t>6、安全系统的日常维护和管理</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对于互联网安全设备、防病毒系统、客户端管理系统的日常维护和管理</w:t>
      </w:r>
    </w:p>
    <w:p>
      <w:pPr>
        <w:pStyle w:val="5"/>
        <w:pageBreakBefore w:val="0"/>
        <w:kinsoku/>
        <w:wordWrap/>
        <w:overflowPunct/>
        <w:topLinePunct w:val="0"/>
        <w:autoSpaceDE/>
        <w:autoSpaceDN/>
        <w:bidi w:val="0"/>
        <w:adjustRightInd/>
        <w:snapToGrid/>
        <w:spacing w:before="0" w:after="0" w:line="360" w:lineRule="auto"/>
        <w:ind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1.3工作网络的运维服务</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1、工作网络网络设备的常规巡检</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对机房工作网络骨干设备、汇聚设备、接入设备的常规巡检。</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2、重要应用系统巡检</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对工作网络部署的应用进行可达性、可用性的常规巡检。</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3、新系统上线集成</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对于以后新的应用系统部署，提供部署基础，包括IP规划全策略部署等的集成。</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4、应用系统网络调整</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根据信息化的发展，进行应用系统网络的调整部署。</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5、网络故障排除</w:t>
      </w:r>
    </w:p>
    <w:p>
      <w:pPr>
        <w:pageBreakBefore w:val="0"/>
        <w:kinsoku/>
        <w:wordWrap/>
        <w:overflowPunct/>
        <w:topLinePunct w:val="0"/>
        <w:autoSpaceDE/>
        <w:autoSpaceDN/>
        <w:bidi w:val="0"/>
        <w:adjustRightInd/>
        <w:snapToGrid/>
        <w:spacing w:line="360" w:lineRule="auto"/>
        <w:ind w:left="561" w:leftChars="267"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对于网络故障排除，包括故障定位、故障原因分析、故障排除等。</w:t>
      </w:r>
      <w:r>
        <w:rPr>
          <w:rFonts w:hint="eastAsia" w:asciiTheme="minorEastAsia" w:hAnsiTheme="minorEastAsia" w:eastAsiaTheme="minorEastAsia" w:cstheme="minorEastAsia"/>
          <w:sz w:val="21"/>
          <w:szCs w:val="21"/>
        </w:rPr>
        <w:t>6、安全系统的日常维护和管理</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对于工作网络安全设备、防病毒系统、客户端管理系统的日常维护和管理</w:t>
      </w:r>
    </w:p>
    <w:p>
      <w:pPr>
        <w:pStyle w:val="5"/>
        <w:pageBreakBefore w:val="0"/>
        <w:kinsoku/>
        <w:wordWrap/>
        <w:overflowPunct/>
        <w:topLinePunct w:val="0"/>
        <w:autoSpaceDE/>
        <w:autoSpaceDN/>
        <w:bidi w:val="0"/>
        <w:adjustRightInd/>
        <w:snapToGrid/>
        <w:spacing w:before="0" w:after="0" w:line="360" w:lineRule="auto"/>
        <w:ind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1.4涉密网络的运维服务</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1、涉密网络设备的常规巡检</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对机房工作网络骨干设备、汇聚设备、接入设备的常规巡检。</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bCs/>
          <w:sz w:val="21"/>
          <w:szCs w:val="21"/>
        </w:rPr>
        <w:t>应用系统可用性检测</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对涉密网络部署的应用进行定期可达性、可用性的常规巡检测试。</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3、新系统上线集成</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对于以后新的应用系统部署，提供部署基础，包括IP规划全策略部署等的集成。</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5、网络故障排除</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对于网络故障排除，包括故障定位、故障原因分析、故障排除等。</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6、安全系统的日常维护和管理</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对于工作网络安全设备、防病毒系统、客户端管理系统的日常维护和管理</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7、设备配置备份工作</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定期针对机房涉密网络中的网络设备（路由器、交换机、防火墙等）进行配置备份。</w:t>
      </w:r>
    </w:p>
    <w:p>
      <w:pPr>
        <w:pStyle w:val="5"/>
        <w:pageBreakBefore w:val="0"/>
        <w:kinsoku/>
        <w:wordWrap/>
        <w:overflowPunct/>
        <w:topLinePunct w:val="0"/>
        <w:autoSpaceDE/>
        <w:autoSpaceDN/>
        <w:bidi w:val="0"/>
        <w:adjustRightInd/>
        <w:snapToGrid/>
        <w:spacing w:before="0" w:after="0" w:line="360" w:lineRule="auto"/>
        <w:ind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1.5机房UPS系统及精密空调系统的维保服务</w:t>
      </w:r>
    </w:p>
    <w:p>
      <w:pPr>
        <w:pStyle w:val="6"/>
        <w:pageBreakBefore w:val="0"/>
        <w:kinsoku/>
        <w:wordWrap/>
        <w:overflowPunct/>
        <w:topLinePunct w:val="0"/>
        <w:autoSpaceDE/>
        <w:autoSpaceDN/>
        <w:bidi w:val="0"/>
        <w:adjustRightInd/>
        <w:snapToGrid/>
        <w:spacing w:before="0" w:after="0" w:line="360" w:lineRule="auto"/>
        <w:ind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1.5.1机房UPS系统的维保服务</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机房内有3台品牌为“艾默生”，型号为“EPM100KVA”的UPS设备。科学的使用和维护不仅可以使UPS正常稳定的运行更可以延长UPS的使用寿命。服务内容如下： </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1.UPS维保期服务</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UPS保修期，全方位维护制定服务计划，为设备提供维修服务，全面保障设备的高可靠性和延续性。尤其经过相当运行时间或受到周边运行环境变化影响的设备，因较容易出现老化和磨损现象，对日常的预防性维护和可靠而迅速的技术支持。</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2.UPS维护内容包括:</w:t>
      </w:r>
    </w:p>
    <w:p>
      <w:pPr>
        <w:pageBreakBefore w:val="0"/>
        <w:tabs>
          <w:tab w:val="left" w:pos="0"/>
        </w:tabs>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1）电池的保养：对电池组中的电池做静态,动态测试、对电池组的联接进行检查</w:t>
      </w:r>
    </w:p>
    <w:p>
      <w:pPr>
        <w:pageBreakBefore w:val="0"/>
        <w:tabs>
          <w:tab w:val="left" w:pos="0"/>
        </w:tabs>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2）电池在UPS机上放电测试</w:t>
      </w:r>
    </w:p>
    <w:p>
      <w:pPr>
        <w:pageBreakBefore w:val="0"/>
        <w:tabs>
          <w:tab w:val="left" w:pos="0"/>
        </w:tabs>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3）主机保养：A. 检查设备的运行状况；B. 对需要进行清扫的机器进行除尘清扫；C. 对设备内主要部件进行静态测试；D. 检测机内易损单元(逆变器, 整流器, 静态开关)；E. 检查设备的输入, 输出联接端子是否牢固；F. 恢复设备运行, 检测设备的输出主要性能指针。</w:t>
      </w:r>
    </w:p>
    <w:p>
      <w:pPr>
        <w:pStyle w:val="6"/>
        <w:pageBreakBefore w:val="0"/>
        <w:kinsoku/>
        <w:wordWrap/>
        <w:overflowPunct/>
        <w:topLinePunct w:val="0"/>
        <w:autoSpaceDE/>
        <w:autoSpaceDN/>
        <w:bidi w:val="0"/>
        <w:adjustRightInd/>
        <w:snapToGrid/>
        <w:spacing w:before="0" w:after="0" w:line="360" w:lineRule="auto"/>
        <w:ind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1.5.2机房精密空调系统的运维服务</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机房共有2台品牌为“艾默生”型号为“CRO25RA”的行间精密空调和1台品牌为“艾默生 ”型号为“P1030UA”的精密空调。科学的使用和维护不仅可以使机房精密空调正常稳定的运行更可以延长机房精密空调的使用寿命，服务内容如下： </w:t>
      </w:r>
    </w:p>
    <w:p>
      <w:pPr>
        <w:pageBreakBefore w:val="0"/>
        <w:kinsoku/>
        <w:wordWrap/>
        <w:overflowPunct/>
        <w:topLinePunct w:val="0"/>
        <w:autoSpaceDE/>
        <w:autoSpaceDN/>
        <w:bidi w:val="0"/>
        <w:adjustRightInd/>
        <w:snapToGrid/>
        <w:spacing w:line="360" w:lineRule="auto"/>
        <w:ind w:right="0" w:rightChars="0" w:firstLine="42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日常维护的主要内容</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1）测量压缩机吸气及排气压力；检查压缩机回气过热度；检查压缩机工作电流是否在正常范围内；调整室外机冷凝器过冷度；检查室外机冷凝器调速器工作情况，调整工作点；检查所有排水管道和进水管道是否堵塞。</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2）空气过滤器的清洗</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气过滤器的清洗是日常维护工作的一项重要内容。如果空气过滤器过脏，将降低空气的流量及过滤器的过滤能力。对直接膨胀制冷机组，风量的降低会引起故障，甚至引起压缩机损坏。通过定期清洗空气过滤器可以避免此类故障的发生。空气过滤器清洗的间隔时间取决于房间灰尘的多少，不作特别规定。</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3）空调内机排水水泵的日常维护</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内机排水系统是提供空调内机冷凝水排出机房的功能，由于为水冷空调，对排水水泵的要求格外重要，在日常的巡检中，将对水泵的运行情况进行记录，并定期检查排水性能。</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4）空调外机的维护</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外机为水冷系统，空调外机的运行格外重要，在日常的维护中，对外机的扇叶进行清理，并检查空调水质情况，定期对空调外机的循环水进行更换，保证循环水系统的水质清澈。</w:t>
      </w:r>
    </w:p>
    <w:p>
      <w:pPr>
        <w:pStyle w:val="6"/>
        <w:pageBreakBefore w:val="0"/>
        <w:kinsoku/>
        <w:wordWrap/>
        <w:overflowPunct/>
        <w:topLinePunct w:val="0"/>
        <w:autoSpaceDE/>
        <w:autoSpaceDN/>
        <w:bidi w:val="0"/>
        <w:adjustRightInd/>
        <w:snapToGrid/>
        <w:spacing w:before="0" w:after="0" w:line="360" w:lineRule="auto"/>
        <w:ind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1.5.3服务要求</w:t>
      </w:r>
    </w:p>
    <w:p>
      <w:pPr>
        <w:pageBreakBefore w:val="0"/>
        <w:kinsoku/>
        <w:wordWrap/>
        <w:overflowPunct/>
        <w:topLinePunct w:val="0"/>
        <w:autoSpaceDE/>
        <w:autoSpaceDN/>
        <w:bidi w:val="0"/>
        <w:adjustRightInd/>
        <w:snapToGrid/>
        <w:spacing w:line="360" w:lineRule="auto"/>
        <w:ind w:right="0" w:rightChars="0" w:firstLine="422"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1）服务级别</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机房UPS系统、精密空调系统的维护须采用半保服务模式：</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A.包括全部的维护与维修工作（包含设备的更换费用、耗材、备件、人工、差旅等费用，不包含UPS电池的更换。）；</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B.1个服务周期内由原厂授权与认证的专业工程师负责的12次定期巡检与特殊情况下（如节假日前、高温天气等）不定期巡检；</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C.服务周期内电话及时响应，全天候随时电话解决问题，紧急情况当时作出应急处理办法方案。紧急故障60分钟到达现场解决问题； </w:t>
      </w:r>
    </w:p>
    <w:p>
      <w:pPr>
        <w:pageBreakBefore w:val="0"/>
        <w:kinsoku/>
        <w:wordWrap/>
        <w:overflowPunct/>
        <w:topLinePunct w:val="0"/>
        <w:autoSpaceDE/>
        <w:autoSpaceDN/>
        <w:bidi w:val="0"/>
        <w:adjustRightInd/>
        <w:snapToGrid/>
        <w:spacing w:line="360" w:lineRule="auto"/>
        <w:ind w:right="0" w:rightChars="0" w:firstLine="422"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2）响应服务时间</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A、7*24小时（包括星期六和星期日）故障报修响应时间及服务工程师到达现场不超过1小时。</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b/>
          <w:sz w:val="21"/>
          <w:szCs w:val="21"/>
          <w:u w:val="single"/>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b/>
          <w:sz w:val="21"/>
          <w:szCs w:val="21"/>
          <w:u w:val="single"/>
        </w:rPr>
        <w:t>如果设备故障在检修12工作小时内仍无法排除、无法维修的，则免费提供不低于故障设备功率的备机，且备机可安装在现有被替换的设备位置，以保障系统的稳定运行</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C、提供终身热线电话、技术支持服务。</w:t>
      </w:r>
    </w:p>
    <w:p>
      <w:pPr>
        <w:pageBreakBefore w:val="0"/>
        <w:kinsoku/>
        <w:wordWrap/>
        <w:overflowPunct/>
        <w:topLinePunct w:val="0"/>
        <w:autoSpaceDE/>
        <w:autoSpaceDN/>
        <w:bidi w:val="0"/>
        <w:adjustRightInd/>
        <w:snapToGrid/>
        <w:spacing w:line="360" w:lineRule="auto"/>
        <w:ind w:right="0" w:rightChars="0" w:firstLine="422"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3、巡检服务</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1个服务周期内12次定期巡检与特殊情况下（如节假日前、高温天气等）不定期巡检，也可根据用户要求增加系统现场例行检查次数，例行检查初步安排在每个季度的前十天对系统现场例行检查。系统例检是一种有计划的、全面统一的维护服务，可以消除系统隐患、提高系统效率、保障系统安全、加强系统管理。</w:t>
      </w:r>
    </w:p>
    <w:p>
      <w:pPr>
        <w:pageBreakBefore w:val="0"/>
        <w:kinsoku/>
        <w:wordWrap/>
        <w:overflowPunct/>
        <w:topLinePunct w:val="0"/>
        <w:autoSpaceDE/>
        <w:autoSpaceDN/>
        <w:bidi w:val="0"/>
        <w:adjustRightInd/>
        <w:snapToGrid/>
        <w:spacing w:line="360" w:lineRule="auto"/>
        <w:ind w:right="0" w:rightChars="0" w:firstLine="422"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4、成果递交</w:t>
      </w:r>
    </w:p>
    <w:p>
      <w:pPr>
        <w:pageBreakBefore w:val="0"/>
        <w:kinsoku/>
        <w:wordWrap/>
        <w:overflowPunct/>
        <w:topLinePunct w:val="0"/>
        <w:autoSpaceDE/>
        <w:autoSpaceDN/>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按要求定期提供月报、季报、年度报告，测试和检测报告。</w:t>
      </w:r>
    </w:p>
    <w:p>
      <w:pPr>
        <w:pStyle w:val="6"/>
        <w:pageBreakBefore w:val="0"/>
        <w:kinsoku/>
        <w:wordWrap/>
        <w:overflowPunct/>
        <w:topLinePunct w:val="0"/>
        <w:autoSpaceDE/>
        <w:autoSpaceDN/>
        <w:bidi w:val="0"/>
        <w:adjustRightInd/>
        <w:snapToGrid/>
        <w:spacing w:before="0" w:after="0" w:line="360" w:lineRule="auto"/>
        <w:ind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1.5.4服务清单</w:t>
      </w:r>
    </w:p>
    <w:tbl>
      <w:tblPr>
        <w:tblStyle w:val="20"/>
        <w:tblW w:w="8290" w:type="dxa"/>
        <w:jc w:val="center"/>
        <w:tblLayout w:type="fixed"/>
        <w:tblCellMar>
          <w:top w:w="0" w:type="dxa"/>
          <w:left w:w="108" w:type="dxa"/>
          <w:bottom w:w="0" w:type="dxa"/>
          <w:right w:w="108" w:type="dxa"/>
        </w:tblCellMar>
      </w:tblPr>
      <w:tblGrid>
        <w:gridCol w:w="568"/>
        <w:gridCol w:w="1476"/>
        <w:gridCol w:w="4940"/>
        <w:gridCol w:w="672"/>
        <w:gridCol w:w="634"/>
      </w:tblGrid>
      <w:tr>
        <w:tblPrEx>
          <w:tblCellMar>
            <w:top w:w="0" w:type="dxa"/>
            <w:left w:w="108" w:type="dxa"/>
            <w:bottom w:w="0" w:type="dxa"/>
            <w:right w:w="108" w:type="dxa"/>
          </w:tblCellMar>
        </w:tblPrEx>
        <w:trPr>
          <w:trHeight w:val="270" w:hRule="atLeast"/>
          <w:jc w:val="center"/>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476"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P1030UA</w:t>
            </w:r>
          </w:p>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空调一年维保</w:t>
            </w:r>
          </w:p>
        </w:tc>
        <w:tc>
          <w:tcPr>
            <w:tcW w:w="4940"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艾默生P1030UA，负责日常维护、空调外机清洗、过滤网更换、检修等；含一年空调耗材：16片空调过滤网、1根压缩机皮带；</w:t>
            </w:r>
          </w:p>
        </w:tc>
        <w:tc>
          <w:tcPr>
            <w:tcW w:w="672"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634"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CellMar>
            <w:top w:w="0" w:type="dxa"/>
            <w:left w:w="108" w:type="dxa"/>
            <w:bottom w:w="0" w:type="dxa"/>
            <w:right w:w="108" w:type="dxa"/>
          </w:tblCellMar>
        </w:tblPrEx>
        <w:trPr>
          <w:trHeight w:val="1472" w:hRule="atLeast"/>
          <w:jc w:val="center"/>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476"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CR025RA</w:t>
            </w:r>
          </w:p>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空调一年维保</w:t>
            </w:r>
          </w:p>
        </w:tc>
        <w:tc>
          <w:tcPr>
            <w:tcW w:w="4940"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艾默生CR025RA，负责日常维护、空调外机清洗、过滤网更换、加湿罐更换、检修等；含1年耗材：16片空调过滤网、4只空调加湿器；</w:t>
            </w:r>
          </w:p>
        </w:tc>
        <w:tc>
          <w:tcPr>
            <w:tcW w:w="672"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634"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CellMar>
            <w:top w:w="0" w:type="dxa"/>
            <w:left w:w="108" w:type="dxa"/>
            <w:bottom w:w="0" w:type="dxa"/>
            <w:right w:w="108" w:type="dxa"/>
          </w:tblCellMar>
        </w:tblPrEx>
        <w:trPr>
          <w:trHeight w:val="2420" w:hRule="atLeast"/>
          <w:jc w:val="center"/>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476"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艾默生EPM100KVA</w:t>
            </w:r>
          </w:p>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UPS一年维保</w:t>
            </w:r>
          </w:p>
        </w:tc>
        <w:tc>
          <w:tcPr>
            <w:tcW w:w="4940"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EPM 100KVA，负责日常维护；检查UPS供电线路连接是否坚固，有无松动或损坏现象；电缆线路有无破损漏电现象；各转换装置情况是否良好；各项技术参数有无异常；电池状态监测等；并检查运行状态；</w:t>
            </w:r>
          </w:p>
        </w:tc>
        <w:tc>
          <w:tcPr>
            <w:tcW w:w="672"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634"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r>
      <w:tr>
        <w:tblPrEx>
          <w:tblCellMar>
            <w:top w:w="0" w:type="dxa"/>
            <w:left w:w="108" w:type="dxa"/>
            <w:bottom w:w="0" w:type="dxa"/>
            <w:right w:w="108" w:type="dxa"/>
          </w:tblCellMar>
        </w:tblPrEx>
        <w:trPr>
          <w:trHeight w:val="273" w:hRule="atLeast"/>
          <w:jc w:val="center"/>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476"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格力3P柜机</w:t>
            </w:r>
          </w:p>
        </w:tc>
        <w:tc>
          <w:tcPr>
            <w:tcW w:w="4940"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包修服务，含配件、材料、制冷液补充等。</w:t>
            </w:r>
          </w:p>
        </w:tc>
        <w:tc>
          <w:tcPr>
            <w:tcW w:w="672"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634"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auto"/>
              <w:ind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r>
    </w:tbl>
    <w:p>
      <w:pPr>
        <w:pageBreakBefore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sz w:val="21"/>
          <w:szCs w:val="21"/>
        </w:rPr>
      </w:pPr>
    </w:p>
    <w:p>
      <w:pPr>
        <w:pStyle w:val="19"/>
        <w:numPr>
          <w:ilvl w:val="0"/>
          <w:numId w:val="0"/>
        </w:numPr>
        <w:spacing w:line="360" w:lineRule="auto"/>
        <w:ind w:leftChars="100"/>
        <w:rPr>
          <w:rFonts w:hint="eastAsia" w:ascii="宋体" w:hAnsi="宋体" w:cs="宋体"/>
          <w:b/>
          <w:szCs w:val="21"/>
        </w:rPr>
      </w:pPr>
      <w:r>
        <w:rPr>
          <w:rFonts w:hint="eastAsia" w:ascii="宋体" w:hAnsi="宋体" w:cs="宋体"/>
          <w:b/>
          <w:szCs w:val="21"/>
          <w:lang w:val="en-US" w:eastAsia="zh-CN"/>
        </w:rPr>
        <w:t xml:space="preserve">  </w:t>
      </w:r>
      <w:r>
        <w:rPr>
          <w:rFonts w:hint="eastAsia" w:ascii="宋体" w:hAnsi="宋体" w:cs="宋体"/>
          <w:b/>
          <w:szCs w:val="21"/>
        </w:rPr>
        <w:t>服务期结束时，本合同下的维保对象应处良好及正常状态；</w:t>
      </w:r>
    </w:p>
    <w:p>
      <w:pPr>
        <w:spacing w:line="360" w:lineRule="auto"/>
        <w:rPr>
          <w:rFonts w:ascii="宋体" w:hAnsi="宋体" w:cs="宋体"/>
          <w:b/>
          <w:szCs w:val="21"/>
        </w:rPr>
      </w:pPr>
      <w:r>
        <w:rPr>
          <w:rFonts w:hint="eastAsia" w:ascii="宋体" w:hAnsi="宋体" w:cs="宋体"/>
          <w:b/>
          <w:szCs w:val="21"/>
          <w:lang w:val="en-US" w:eastAsia="zh-CN"/>
        </w:rPr>
        <w:t>三</w:t>
      </w:r>
      <w:r>
        <w:rPr>
          <w:rFonts w:hint="eastAsia" w:ascii="宋体" w:hAnsi="宋体" w:cs="宋体"/>
          <w:b/>
          <w:szCs w:val="21"/>
        </w:rPr>
        <w:t xml:space="preserve"> 、维保期限：</w:t>
      </w:r>
    </w:p>
    <w:p>
      <w:pPr>
        <w:spacing w:line="360" w:lineRule="auto"/>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合同生效起的</w:t>
      </w:r>
      <w:r>
        <w:rPr>
          <w:rFonts w:hint="eastAsia" w:ascii="宋体" w:hAnsi="宋体" w:cs="宋体"/>
          <w:szCs w:val="21"/>
          <w:lang w:eastAsia="zh-CN"/>
        </w:rPr>
        <w:t>三</w:t>
      </w:r>
      <w:r>
        <w:rPr>
          <w:rFonts w:hint="eastAsia" w:ascii="宋体" w:hAnsi="宋体" w:cs="宋体"/>
          <w:szCs w:val="21"/>
        </w:rPr>
        <w:t>年内</w:t>
      </w:r>
    </w:p>
    <w:p>
      <w:pPr>
        <w:spacing w:line="360" w:lineRule="auto"/>
        <w:rPr>
          <w:rFonts w:ascii="宋体" w:hAnsi="宋体" w:cs="宋体"/>
          <w:b/>
          <w:szCs w:val="21"/>
        </w:rPr>
      </w:pPr>
      <w:r>
        <w:rPr>
          <w:rFonts w:hint="eastAsia" w:ascii="宋体" w:hAnsi="宋体" w:cs="宋体"/>
          <w:b/>
          <w:szCs w:val="21"/>
          <w:lang w:val="en-US" w:eastAsia="zh-CN"/>
        </w:rPr>
        <w:t>四</w:t>
      </w:r>
      <w:r>
        <w:rPr>
          <w:rFonts w:hint="eastAsia" w:ascii="宋体" w:hAnsi="宋体" w:cs="宋体"/>
          <w:b/>
          <w:szCs w:val="21"/>
        </w:rPr>
        <w:t xml:space="preserve"> 、保修费及付款</w:t>
      </w:r>
    </w:p>
    <w:p>
      <w:pPr>
        <w:spacing w:line="360" w:lineRule="auto"/>
        <w:ind w:firstLine="422" w:firstLineChars="200"/>
        <w:outlineLvl w:val="0"/>
        <w:rPr>
          <w:rFonts w:ascii="宋体" w:hAnsi="宋体" w:cs="宋体"/>
          <w:b/>
          <w:szCs w:val="21"/>
        </w:rPr>
      </w:pPr>
      <w:r>
        <w:rPr>
          <w:rFonts w:hint="eastAsia" w:ascii="宋体" w:hAnsi="宋体" w:cs="宋体"/>
          <w:b/>
          <w:szCs w:val="21"/>
        </w:rPr>
        <w:t>1、保修服务费</w:t>
      </w:r>
    </w:p>
    <w:p>
      <w:pPr>
        <w:spacing w:line="360" w:lineRule="auto"/>
        <w:ind w:firstLine="420" w:firstLineChars="200"/>
        <w:rPr>
          <w:rFonts w:hint="eastAsia" w:ascii="宋体" w:hAnsi="宋体" w:cs="宋体"/>
          <w:szCs w:val="21"/>
        </w:rPr>
      </w:pPr>
      <w:r>
        <w:rPr>
          <w:rFonts w:hint="eastAsia" w:ascii="宋体" w:hAnsi="宋体" w:cs="宋体"/>
          <w:szCs w:val="21"/>
        </w:rPr>
        <w:t>本合同下发生的费用以人民币结算和支付，每年的维保费总金额为人民币（大写）：__________，（小写）：__________元。</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发生设备硬件损坏等问题</w:t>
      </w:r>
      <w:r>
        <w:rPr>
          <w:rFonts w:hint="eastAsia" w:ascii="宋体" w:hAnsi="宋体" w:cs="宋体"/>
          <w:szCs w:val="21"/>
          <w:lang w:eastAsia="zh-CN"/>
        </w:rPr>
        <w:t>单价</w:t>
      </w:r>
      <w:r>
        <w:rPr>
          <w:rFonts w:hint="eastAsia" w:ascii="宋体" w:hAnsi="宋体" w:cs="宋体"/>
          <w:szCs w:val="21"/>
        </w:rPr>
        <w:t>在5000元（人民币）以下的由</w:t>
      </w:r>
      <w:r>
        <w:rPr>
          <w:rFonts w:hint="eastAsia" w:ascii="宋体" w:hAnsi="宋体" w:cs="宋体"/>
          <w:szCs w:val="21"/>
          <w:lang w:eastAsia="zh-CN"/>
        </w:rPr>
        <w:t>乙方</w:t>
      </w:r>
      <w:r>
        <w:rPr>
          <w:rFonts w:hint="eastAsia" w:ascii="宋体" w:hAnsi="宋体" w:cs="宋体"/>
          <w:szCs w:val="21"/>
        </w:rPr>
        <w:t>司负责，</w:t>
      </w:r>
      <w:r>
        <w:rPr>
          <w:rFonts w:hint="eastAsia" w:ascii="宋体" w:hAnsi="宋体" w:cs="宋体"/>
          <w:szCs w:val="21"/>
          <w:lang w:eastAsia="zh-CN"/>
        </w:rPr>
        <w:t>单价</w:t>
      </w:r>
      <w:r>
        <w:rPr>
          <w:rFonts w:hint="eastAsia" w:ascii="宋体" w:hAnsi="宋体" w:cs="宋体"/>
          <w:szCs w:val="21"/>
        </w:rPr>
        <w:t>在5000元（人民币）以上（含5000元）的由甲方负责。</w:t>
      </w:r>
    </w:p>
    <w:p>
      <w:pPr>
        <w:spacing w:line="360" w:lineRule="auto"/>
        <w:ind w:firstLine="422" w:firstLineChars="200"/>
        <w:rPr>
          <w:rFonts w:hint="eastAsia" w:ascii="宋体" w:hAnsi="宋体" w:cs="宋体"/>
          <w:b/>
          <w:bCs/>
          <w:szCs w:val="21"/>
        </w:rPr>
      </w:pPr>
      <w:r>
        <w:rPr>
          <w:rFonts w:hint="eastAsia" w:ascii="宋体" w:hAnsi="宋体" w:cs="宋体"/>
          <w:b/>
          <w:bCs/>
          <w:szCs w:val="21"/>
          <w:lang w:val="en-US" w:eastAsia="zh-CN"/>
        </w:rPr>
        <w:t>3</w:t>
      </w:r>
      <w:r>
        <w:rPr>
          <w:rFonts w:hint="eastAsia" w:ascii="宋体" w:hAnsi="宋体" w:cs="宋体"/>
          <w:b/>
          <w:bCs/>
          <w:szCs w:val="21"/>
        </w:rPr>
        <w:t>、付款方式</w:t>
      </w:r>
    </w:p>
    <w:p>
      <w:pPr>
        <w:spacing w:line="360" w:lineRule="auto"/>
        <w:ind w:firstLine="420" w:firstLineChars="200"/>
        <w:rPr>
          <w:rFonts w:hint="default" w:ascii="宋体" w:hAnsi="宋体" w:cs="宋体"/>
          <w:szCs w:val="21"/>
          <w:lang w:val="en-US" w:eastAsia="zh-CN"/>
        </w:rPr>
      </w:pPr>
      <w:r>
        <w:rPr>
          <w:rFonts w:hint="eastAsia" w:ascii="宋体" w:hAnsi="宋体" w:cs="宋体"/>
          <w:szCs w:val="21"/>
          <w:lang w:val="en-US" w:eastAsia="zh-CN"/>
        </w:rPr>
        <w:t>单年度维护期内分两次付款，单年度维护期开始前支付年度维保费的50%，单年度维护期结束后支付年度维保费的50%</w:t>
      </w:r>
    </w:p>
    <w:p>
      <w:pPr>
        <w:spacing w:line="360" w:lineRule="auto"/>
        <w:rPr>
          <w:rFonts w:ascii="宋体" w:hAnsi="宋体" w:cs="宋体"/>
          <w:b/>
          <w:szCs w:val="21"/>
        </w:rPr>
      </w:pPr>
      <w:r>
        <w:rPr>
          <w:rFonts w:hint="eastAsia" w:ascii="宋体" w:hAnsi="宋体" w:cs="宋体"/>
          <w:b/>
          <w:szCs w:val="21"/>
          <w:lang w:val="en-US" w:eastAsia="zh-CN"/>
        </w:rPr>
        <w:t>五</w:t>
      </w:r>
      <w:r>
        <w:rPr>
          <w:rFonts w:hint="eastAsia" w:ascii="宋体" w:hAnsi="宋体" w:cs="宋体"/>
          <w:b/>
          <w:szCs w:val="21"/>
        </w:rPr>
        <w:t>、双方职责</w:t>
      </w:r>
    </w:p>
    <w:p>
      <w:pPr>
        <w:spacing w:line="360" w:lineRule="auto"/>
        <w:ind w:firstLine="422" w:firstLineChars="200"/>
        <w:rPr>
          <w:rFonts w:ascii="宋体" w:hAnsi="宋体" w:cs="宋体"/>
          <w:b/>
          <w:szCs w:val="21"/>
        </w:rPr>
      </w:pPr>
      <w:r>
        <w:rPr>
          <w:rFonts w:hint="eastAsia" w:ascii="宋体" w:hAnsi="宋体" w:cs="宋体"/>
          <w:b/>
          <w:szCs w:val="21"/>
        </w:rPr>
        <w:t>1、甲方职责</w:t>
      </w:r>
    </w:p>
    <w:p>
      <w:pPr>
        <w:spacing w:line="360" w:lineRule="auto"/>
        <w:ind w:firstLine="420" w:firstLineChars="200"/>
        <w:rPr>
          <w:rFonts w:ascii="宋体" w:hAnsi="宋体" w:cs="宋体"/>
          <w:szCs w:val="21"/>
        </w:rPr>
      </w:pPr>
      <w:r>
        <w:rPr>
          <w:rFonts w:hint="eastAsia" w:ascii="宋体" w:hAnsi="宋体" w:cs="宋体"/>
          <w:szCs w:val="21"/>
        </w:rPr>
        <w:t>（1）甲方应按设备安装手册及乙方要求准备场地备件，包括电源、防雷等。</w:t>
      </w:r>
    </w:p>
    <w:p>
      <w:pPr>
        <w:spacing w:line="360" w:lineRule="auto"/>
        <w:ind w:firstLine="420" w:firstLineChars="200"/>
        <w:rPr>
          <w:rFonts w:ascii="宋体" w:hAnsi="宋体" w:cs="宋体"/>
          <w:szCs w:val="21"/>
        </w:rPr>
      </w:pPr>
      <w:r>
        <w:rPr>
          <w:rFonts w:hint="eastAsia" w:ascii="宋体" w:hAnsi="宋体" w:cs="宋体"/>
          <w:szCs w:val="21"/>
        </w:rPr>
        <w:t xml:space="preserve">（2）为乙方工程师到场维护提供必要的工作场地。在不影响正常业务开展的情况下，尽量向乙方提供维护修机时间并安排系统人员协助乙方工作。                                                  </w:t>
      </w:r>
    </w:p>
    <w:p>
      <w:pPr>
        <w:spacing w:line="360" w:lineRule="auto"/>
        <w:ind w:firstLine="420" w:firstLineChars="200"/>
        <w:rPr>
          <w:rFonts w:ascii="宋体" w:hAnsi="宋体" w:cs="宋体"/>
          <w:szCs w:val="21"/>
        </w:rPr>
      </w:pPr>
      <w:r>
        <w:rPr>
          <w:rFonts w:hint="eastAsia" w:ascii="宋体" w:hAnsi="宋体" w:cs="宋体"/>
          <w:szCs w:val="21"/>
        </w:rPr>
        <w:t>（3）负责所有维修设备的验收工作并对乙方所派技术人员的技术能力作确认，如不满意，可以要求乙方调整人员。</w:t>
      </w:r>
    </w:p>
    <w:p>
      <w:pPr>
        <w:spacing w:line="360" w:lineRule="auto"/>
        <w:ind w:firstLine="422" w:firstLineChars="200"/>
        <w:rPr>
          <w:rFonts w:ascii="宋体" w:hAnsi="宋体" w:cs="宋体"/>
          <w:b/>
          <w:szCs w:val="21"/>
        </w:rPr>
      </w:pPr>
      <w:r>
        <w:rPr>
          <w:rFonts w:hint="eastAsia" w:ascii="宋体" w:hAnsi="宋体" w:cs="宋体"/>
          <w:b/>
          <w:szCs w:val="21"/>
        </w:rPr>
        <w:t>2、乙方职责</w:t>
      </w:r>
    </w:p>
    <w:p>
      <w:pPr>
        <w:spacing w:line="360" w:lineRule="auto"/>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）每次服务工作结束后，乙方工程师应填写服务文档，并经甲方签署意见确认。</w:t>
      </w:r>
    </w:p>
    <w:p>
      <w:pPr>
        <w:spacing w:line="360" w:lineRule="auto"/>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 乙方选派的工程师应担负对甲方信息保密的义务（包括书面资料、计算机数据等），如发生此方面的问题，乙方应全部承担责任。</w:t>
      </w:r>
    </w:p>
    <w:p>
      <w:pPr>
        <w:pStyle w:val="19"/>
        <w:ind w:left="0" w:leftChars="0" w:firstLine="420"/>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）服务期结束时，乙方应使本合同下的维保对象处于良好及正常状态；</w:t>
      </w:r>
    </w:p>
    <w:p>
      <w:pPr>
        <w:pStyle w:val="2"/>
        <w:rPr>
          <w:rFonts w:ascii="宋体" w:hAnsi="宋体" w:cs="宋体"/>
          <w:szCs w:val="21"/>
        </w:rPr>
      </w:pPr>
    </w:p>
    <w:p>
      <w:pPr>
        <w:spacing w:line="360" w:lineRule="auto"/>
        <w:rPr>
          <w:rFonts w:ascii="宋体" w:hAnsi="宋体" w:cs="宋体"/>
          <w:b/>
          <w:szCs w:val="21"/>
        </w:rPr>
      </w:pPr>
      <w:r>
        <w:rPr>
          <w:rFonts w:hint="eastAsia" w:ascii="宋体" w:hAnsi="宋体" w:cs="宋体"/>
          <w:b/>
          <w:szCs w:val="21"/>
          <w:lang w:val="en-US" w:eastAsia="zh-CN"/>
        </w:rPr>
        <w:t>六</w:t>
      </w:r>
      <w:r>
        <w:rPr>
          <w:rFonts w:hint="eastAsia" w:ascii="宋体" w:hAnsi="宋体" w:cs="宋体"/>
          <w:b/>
          <w:szCs w:val="21"/>
        </w:rPr>
        <w:t>、合同变更、终止</w:t>
      </w:r>
    </w:p>
    <w:p>
      <w:pPr>
        <w:spacing w:line="360" w:lineRule="auto"/>
        <w:ind w:firstLine="420" w:firstLineChars="200"/>
        <w:rPr>
          <w:rFonts w:ascii="宋体" w:hAnsi="宋体" w:cs="宋体"/>
          <w:szCs w:val="21"/>
        </w:rPr>
      </w:pPr>
      <w:r>
        <w:rPr>
          <w:rFonts w:hint="eastAsia" w:ascii="宋体" w:hAnsi="宋体" w:cs="宋体"/>
          <w:szCs w:val="21"/>
        </w:rPr>
        <w:t>如合同内容要修改或增减，需由甲、乙双方代表协商，签署书面文件，作为本合同补充协议；与本合同具有同等效力。</w:t>
      </w:r>
    </w:p>
    <w:p>
      <w:pPr>
        <w:spacing w:line="360" w:lineRule="auto"/>
        <w:ind w:left="195" w:firstLine="211" w:firstLineChars="100"/>
        <w:rPr>
          <w:rFonts w:ascii="宋体" w:hAnsi="宋体" w:cs="宋体"/>
          <w:b/>
          <w:szCs w:val="21"/>
        </w:rPr>
      </w:pPr>
      <w:r>
        <w:rPr>
          <w:rFonts w:hint="eastAsia" w:ascii="宋体" w:hAnsi="宋体" w:cs="宋体"/>
          <w:b/>
          <w:szCs w:val="21"/>
        </w:rPr>
        <w:t xml:space="preserve">甲方在下列情况下有权终止协议，乙方将合同维修保养费还甲方： </w:t>
      </w:r>
    </w:p>
    <w:p>
      <w:pPr>
        <w:spacing w:line="360" w:lineRule="auto"/>
        <w:rPr>
          <w:rFonts w:ascii="宋体" w:hAnsi="宋体" w:cs="宋体"/>
          <w:szCs w:val="21"/>
        </w:rPr>
      </w:pPr>
      <w:r>
        <w:rPr>
          <w:rFonts w:hint="eastAsia" w:ascii="宋体" w:hAnsi="宋体" w:cs="宋体"/>
          <w:szCs w:val="21"/>
        </w:rPr>
        <w:t xml:space="preserve">   （1）如果乙方对甲方无法履行合同义务 。</w:t>
      </w:r>
    </w:p>
    <w:p>
      <w:pPr>
        <w:spacing w:line="360" w:lineRule="auto"/>
        <w:rPr>
          <w:rFonts w:ascii="宋体" w:hAnsi="宋体" w:cs="宋体"/>
          <w:szCs w:val="21"/>
        </w:rPr>
      </w:pPr>
      <w:r>
        <w:rPr>
          <w:rFonts w:hint="eastAsia" w:ascii="宋体" w:hAnsi="宋体" w:cs="宋体"/>
          <w:szCs w:val="21"/>
        </w:rPr>
        <w:t xml:space="preserve">   （2）如果乙方在甲方故障三天内（或在甲方书面通知所规定的时间内）不能按应急方案，排除故障。</w:t>
      </w:r>
    </w:p>
    <w:p>
      <w:pPr>
        <w:spacing w:line="360" w:lineRule="auto"/>
        <w:ind w:left="315"/>
        <w:rPr>
          <w:rFonts w:ascii="宋体" w:hAnsi="宋体" w:cs="宋体"/>
          <w:szCs w:val="21"/>
        </w:rPr>
      </w:pPr>
      <w:r>
        <w:rPr>
          <w:rFonts w:hint="eastAsia" w:ascii="宋体" w:hAnsi="宋体" w:cs="宋体"/>
          <w:b/>
          <w:szCs w:val="21"/>
        </w:rPr>
        <w:t xml:space="preserve"> </w:t>
      </w:r>
      <w:r>
        <w:rPr>
          <w:rFonts w:hint="eastAsia" w:ascii="宋体" w:hAnsi="宋体" w:cs="宋体"/>
          <w:b/>
          <w:szCs w:val="21"/>
          <w:lang w:val="en-US" w:eastAsia="zh-CN"/>
        </w:rPr>
        <w:t xml:space="preserve"> </w:t>
      </w:r>
    </w:p>
    <w:p>
      <w:pPr>
        <w:spacing w:line="360" w:lineRule="auto"/>
        <w:ind w:left="315"/>
        <w:rPr>
          <w:rFonts w:ascii="宋体" w:hAnsi="宋体" w:cs="宋体"/>
          <w:szCs w:val="21"/>
        </w:rPr>
      </w:pPr>
    </w:p>
    <w:p>
      <w:pPr>
        <w:spacing w:line="360" w:lineRule="auto"/>
        <w:rPr>
          <w:rFonts w:ascii="宋体" w:hAnsi="宋体" w:cs="宋体"/>
          <w:b/>
          <w:szCs w:val="21"/>
        </w:rPr>
      </w:pPr>
      <w:r>
        <w:rPr>
          <w:rFonts w:hint="eastAsia" w:ascii="宋体" w:hAnsi="宋体" w:cs="宋体"/>
          <w:b/>
          <w:szCs w:val="21"/>
          <w:lang w:val="en-US" w:eastAsia="zh-CN"/>
        </w:rPr>
        <w:t>七</w:t>
      </w:r>
      <w:r>
        <w:rPr>
          <w:rFonts w:hint="eastAsia" w:ascii="宋体" w:hAnsi="宋体" w:cs="宋体"/>
          <w:b/>
          <w:szCs w:val="21"/>
        </w:rPr>
        <w:t>、违约与赔偿损失</w:t>
      </w:r>
    </w:p>
    <w:p>
      <w:pPr>
        <w:spacing w:line="360" w:lineRule="auto"/>
        <w:rPr>
          <w:rFonts w:ascii="宋体" w:hAnsi="宋体" w:cs="宋体"/>
          <w:szCs w:val="21"/>
        </w:rPr>
      </w:pPr>
      <w:r>
        <w:rPr>
          <w:rFonts w:hint="eastAsia" w:ascii="宋体" w:hAnsi="宋体" w:cs="宋体"/>
          <w:szCs w:val="21"/>
        </w:rPr>
        <w:t xml:space="preserve">  违反本合约约定，按合同法有关规定承担违约责任，违约方赔偿履约方的一切经济损失。对违反信息保密规定并造成严重后果的行为，被违约方有权采取法律措施，保护自己利益， 并拥有向违约方提出补偿损失的权利。情节严重的还需要追究有关人员的法律责任。</w:t>
      </w:r>
    </w:p>
    <w:p>
      <w:pPr>
        <w:spacing w:line="360" w:lineRule="auto"/>
        <w:rPr>
          <w:rFonts w:ascii="宋体" w:hAnsi="宋体" w:cs="宋体"/>
          <w:szCs w:val="21"/>
        </w:rPr>
      </w:pPr>
    </w:p>
    <w:p>
      <w:pPr>
        <w:spacing w:line="360" w:lineRule="auto"/>
        <w:rPr>
          <w:rFonts w:ascii="宋体" w:hAnsi="宋体" w:cs="宋体"/>
          <w:b/>
          <w:szCs w:val="21"/>
        </w:rPr>
      </w:pPr>
      <w:r>
        <w:rPr>
          <w:rFonts w:hint="eastAsia" w:ascii="宋体" w:hAnsi="宋体" w:cs="宋体"/>
          <w:b/>
          <w:szCs w:val="21"/>
          <w:lang w:val="en-US" w:eastAsia="zh-CN"/>
        </w:rPr>
        <w:t>八</w:t>
      </w:r>
      <w:r>
        <w:rPr>
          <w:rFonts w:hint="eastAsia" w:ascii="宋体" w:hAnsi="宋体" w:cs="宋体"/>
          <w:b/>
          <w:szCs w:val="21"/>
        </w:rPr>
        <w:t>、风险责任承担</w:t>
      </w:r>
    </w:p>
    <w:p>
      <w:pPr>
        <w:spacing w:line="360" w:lineRule="auto"/>
        <w:ind w:firstLine="435"/>
        <w:rPr>
          <w:rFonts w:ascii="宋体" w:hAnsi="宋体" w:cs="宋体"/>
          <w:szCs w:val="21"/>
        </w:rPr>
      </w:pPr>
      <w:r>
        <w:rPr>
          <w:rFonts w:hint="eastAsia" w:ascii="宋体" w:hAnsi="宋体" w:cs="宋体"/>
          <w:szCs w:val="21"/>
        </w:rPr>
        <w:t>如果甲、乙任何一方由于不可抗力事件，如战争、严重火灾、水灾、台风、罢工、地震等因素而不能履行合约，或双方公议的其它任何不可抗拒事件而不能履行合约时，执行合约的时间将按不可抗拒事件实际所发生的时间）顺延。受不可抗拒事件影响的一方应尽快通过电传或航空等方式将有关当局出示的证明文件在不可抗拒事件发生14天内通知另一方核定和确认。</w:t>
      </w:r>
    </w:p>
    <w:p>
      <w:pPr>
        <w:spacing w:line="360" w:lineRule="auto"/>
        <w:ind w:firstLine="435"/>
        <w:rPr>
          <w:rFonts w:ascii="宋体" w:hAnsi="宋体" w:cs="宋体"/>
          <w:szCs w:val="21"/>
        </w:rPr>
      </w:pPr>
    </w:p>
    <w:p>
      <w:pPr>
        <w:spacing w:line="360" w:lineRule="auto"/>
        <w:rPr>
          <w:rFonts w:ascii="宋体" w:hAnsi="宋体" w:cs="宋体"/>
          <w:b/>
          <w:szCs w:val="21"/>
        </w:rPr>
      </w:pPr>
      <w:r>
        <w:rPr>
          <w:rFonts w:hint="eastAsia" w:ascii="宋体" w:hAnsi="宋体" w:cs="宋体"/>
          <w:b/>
          <w:szCs w:val="21"/>
          <w:lang w:val="en-US" w:eastAsia="zh-CN"/>
        </w:rPr>
        <w:t>九</w:t>
      </w:r>
      <w:r>
        <w:rPr>
          <w:rFonts w:hint="eastAsia" w:ascii="宋体" w:hAnsi="宋体" w:cs="宋体"/>
          <w:b/>
          <w:szCs w:val="21"/>
        </w:rPr>
        <w:t>、争议的解决方法</w:t>
      </w:r>
    </w:p>
    <w:p>
      <w:pPr>
        <w:snapToGrid w:val="0"/>
        <w:spacing w:line="500" w:lineRule="exact"/>
        <w:ind w:firstLine="420" w:firstLineChars="200"/>
        <w:rPr>
          <w:rFonts w:ascii="宋体" w:hAnsi="宋体" w:cs="宋体"/>
          <w:szCs w:val="21"/>
        </w:rPr>
      </w:pPr>
      <w:r>
        <w:rPr>
          <w:rFonts w:hint="eastAsia" w:ascii="宋体" w:hAnsi="宋体" w:cs="宋体"/>
          <w:szCs w:val="21"/>
        </w:rPr>
        <w:t>合同在履行过程中发生的争议、由双方当事人协商解决；也可由当地工商行政管理部门调解；协商或调解不成的，依法向南通仲裁委员会申请仲裁。</w:t>
      </w:r>
    </w:p>
    <w:p>
      <w:pPr>
        <w:spacing w:line="360" w:lineRule="auto"/>
        <w:ind w:firstLine="420"/>
        <w:rPr>
          <w:rFonts w:ascii="宋体" w:hAnsi="宋体" w:cs="宋体"/>
          <w:b/>
          <w:szCs w:val="21"/>
          <w:u w:val="single"/>
        </w:rPr>
      </w:pPr>
    </w:p>
    <w:p>
      <w:pPr>
        <w:spacing w:line="360" w:lineRule="auto"/>
        <w:rPr>
          <w:rFonts w:ascii="宋体" w:hAnsi="宋体" w:cs="宋体"/>
          <w:b/>
          <w:szCs w:val="21"/>
        </w:rPr>
      </w:pPr>
      <w:r>
        <w:rPr>
          <w:rFonts w:hint="eastAsia" w:ascii="宋体" w:hAnsi="宋体" w:cs="宋体"/>
          <w:b/>
          <w:szCs w:val="21"/>
        </w:rPr>
        <w:t>十、合同生效</w:t>
      </w:r>
    </w:p>
    <w:p>
      <w:pPr>
        <w:spacing w:line="360" w:lineRule="auto"/>
        <w:ind w:firstLine="420" w:firstLineChars="200"/>
        <w:rPr>
          <w:rFonts w:ascii="宋体" w:hAnsi="宋体" w:cs="宋体"/>
          <w:szCs w:val="21"/>
        </w:rPr>
      </w:pPr>
      <w:r>
        <w:rPr>
          <w:rFonts w:hint="eastAsia" w:ascii="宋体" w:hAnsi="宋体" w:cs="宋体"/>
          <w:szCs w:val="21"/>
        </w:rPr>
        <w:t>下述文件是构成合同不可分割的部分，具有同等的法律效力，应一并阅读和理解。</w:t>
      </w:r>
    </w:p>
    <w:p>
      <w:pPr>
        <w:numPr>
          <w:ilvl w:val="0"/>
          <w:numId w:val="5"/>
        </w:numPr>
        <w:spacing w:line="360" w:lineRule="auto"/>
        <w:rPr>
          <w:rFonts w:ascii="宋体" w:hAnsi="宋体" w:cs="宋体"/>
          <w:szCs w:val="21"/>
        </w:rPr>
      </w:pPr>
      <w:r>
        <w:rPr>
          <w:rFonts w:hint="eastAsia" w:ascii="宋体" w:hAnsi="宋体" w:cs="宋体"/>
          <w:szCs w:val="21"/>
        </w:rPr>
        <w:t>采购文件及附件；</w:t>
      </w:r>
    </w:p>
    <w:p>
      <w:pPr>
        <w:numPr>
          <w:ilvl w:val="0"/>
          <w:numId w:val="5"/>
        </w:numPr>
        <w:spacing w:line="360" w:lineRule="auto"/>
        <w:rPr>
          <w:rFonts w:ascii="宋体" w:hAnsi="宋体" w:cs="宋体"/>
          <w:szCs w:val="21"/>
        </w:rPr>
      </w:pPr>
      <w:r>
        <w:rPr>
          <w:rFonts w:hint="eastAsia" w:ascii="宋体" w:hAnsi="宋体" w:cs="宋体"/>
          <w:szCs w:val="21"/>
        </w:rPr>
        <w:t>本合同协议书；</w:t>
      </w:r>
    </w:p>
    <w:p>
      <w:pPr>
        <w:numPr>
          <w:ilvl w:val="0"/>
          <w:numId w:val="5"/>
        </w:numPr>
        <w:spacing w:line="360" w:lineRule="auto"/>
        <w:rPr>
          <w:rFonts w:ascii="宋体" w:hAnsi="宋体" w:cs="宋体"/>
          <w:szCs w:val="21"/>
        </w:rPr>
      </w:pPr>
      <w:r>
        <w:rPr>
          <w:rFonts w:hint="eastAsia" w:ascii="宋体" w:hAnsi="宋体" w:cs="宋体"/>
          <w:szCs w:val="21"/>
        </w:rPr>
        <w:t>中标通知书；</w:t>
      </w:r>
    </w:p>
    <w:p>
      <w:pPr>
        <w:numPr>
          <w:ilvl w:val="0"/>
          <w:numId w:val="5"/>
        </w:numPr>
        <w:spacing w:line="360" w:lineRule="auto"/>
        <w:rPr>
          <w:rFonts w:ascii="宋体" w:hAnsi="宋体" w:cs="宋体"/>
          <w:szCs w:val="21"/>
        </w:rPr>
      </w:pPr>
      <w:r>
        <w:rPr>
          <w:rFonts w:hint="eastAsia" w:ascii="宋体" w:hAnsi="宋体" w:cs="宋体"/>
          <w:szCs w:val="21"/>
        </w:rPr>
        <w:t>投标文件及附件；</w:t>
      </w:r>
    </w:p>
    <w:p>
      <w:pPr>
        <w:spacing w:line="360" w:lineRule="auto"/>
        <w:ind w:firstLine="420"/>
        <w:rPr>
          <w:rFonts w:ascii="宋体" w:hAnsi="宋体" w:cs="宋体"/>
          <w:szCs w:val="21"/>
        </w:rPr>
      </w:pPr>
      <w:r>
        <w:rPr>
          <w:rFonts w:hint="eastAsia" w:ascii="宋体" w:hAnsi="宋体" w:cs="宋体"/>
          <w:szCs w:val="21"/>
        </w:rPr>
        <w:t xml:space="preserve">本合同经双方有权签字人签字加盖公章起生效。本合同一式六份，甲方执四份、乙方执两份。合同双方对合同内容均具有保密义务和责任。本合同签约地为南通市。 </w:t>
      </w:r>
    </w:p>
    <w:p>
      <w:pPr>
        <w:spacing w:line="360" w:lineRule="auto"/>
        <w:ind w:firstLine="420"/>
        <w:rPr>
          <w:rFonts w:ascii="宋体" w:hAnsi="宋体" w:cs="宋体"/>
          <w:szCs w:val="21"/>
        </w:rPr>
      </w:pPr>
    </w:p>
    <w:tbl>
      <w:tblPr>
        <w:tblStyle w:val="20"/>
        <w:tblW w:w="9174" w:type="dxa"/>
        <w:tblInd w:w="0" w:type="dxa"/>
        <w:tblLayout w:type="fixed"/>
        <w:tblCellMar>
          <w:top w:w="0" w:type="dxa"/>
          <w:left w:w="108" w:type="dxa"/>
          <w:bottom w:w="0" w:type="dxa"/>
          <w:right w:w="108" w:type="dxa"/>
        </w:tblCellMar>
      </w:tblPr>
      <w:tblGrid>
        <w:gridCol w:w="4587"/>
        <w:gridCol w:w="4587"/>
      </w:tblGrid>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525" w:firstLineChars="250"/>
              <w:rPr>
                <w:rFonts w:hAnsi="宋体" w:cs="宋体"/>
                <w:bCs/>
                <w:szCs w:val="21"/>
                <w:lang w:val="zh-CN"/>
              </w:rPr>
            </w:pPr>
            <w:r>
              <w:rPr>
                <w:rFonts w:hint="eastAsia" w:hAnsi="宋体" w:cs="宋体"/>
                <w:bCs/>
                <w:szCs w:val="21"/>
                <w:lang w:val="zh-CN"/>
              </w:rPr>
              <w:t xml:space="preserve">甲方：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乙方：</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法定代表人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法定代表人</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或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或</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其授权的代理人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其授权的代理人    </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开户银行：  </w:t>
            </w:r>
          </w:p>
        </w:tc>
        <w:tc>
          <w:tcPr>
            <w:tcW w:w="4587" w:type="dxa"/>
            <w:tcBorders>
              <w:top w:val="nil"/>
              <w:left w:val="nil"/>
              <w:bottom w:val="nil"/>
              <w:right w:val="nil"/>
            </w:tcBorders>
          </w:tcPr>
          <w:p>
            <w:pPr>
              <w:spacing w:line="480" w:lineRule="exact"/>
              <w:ind w:firstLine="480"/>
              <w:rPr>
                <w:rFonts w:hAnsi="宋体" w:cs="宋体"/>
                <w:bCs/>
                <w:szCs w:val="21"/>
                <w:lang w:val="zh-CN"/>
              </w:rPr>
            </w:pPr>
            <w:r>
              <w:rPr>
                <w:rFonts w:hint="eastAsia" w:hAnsi="宋体" w:cs="宋体"/>
                <w:bCs/>
                <w:szCs w:val="21"/>
                <w:lang w:val="zh-CN"/>
              </w:rPr>
              <w:t xml:space="preserve">开户银行：  </w:t>
            </w:r>
          </w:p>
          <w:p>
            <w:pPr>
              <w:spacing w:line="480" w:lineRule="exact"/>
              <w:ind w:firstLine="480"/>
              <w:rPr>
                <w:rFonts w:hAnsi="宋体" w:cs="宋体"/>
                <w:bCs/>
                <w:szCs w:val="21"/>
                <w:lang w:val="zh-CN"/>
              </w:rPr>
            </w:pP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银行账户：</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银行账户：</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地址：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地址：                    </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电话：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电话：                   </w:t>
            </w:r>
          </w:p>
        </w:tc>
      </w:tr>
      <w:tr>
        <w:tblPrEx>
          <w:tblCellMar>
            <w:top w:w="0" w:type="dxa"/>
            <w:left w:w="108" w:type="dxa"/>
            <w:bottom w:w="0" w:type="dxa"/>
            <w:right w:w="108" w:type="dxa"/>
          </w:tblCellMar>
        </w:tblPrEx>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日期：                        </w:t>
            </w:r>
          </w:p>
        </w:tc>
        <w:tc>
          <w:tcPr>
            <w:tcW w:w="4587" w:type="dxa"/>
            <w:tcBorders>
              <w:top w:val="nil"/>
              <w:left w:val="nil"/>
              <w:bottom w:val="nil"/>
              <w:right w:val="nil"/>
            </w:tcBorders>
          </w:tcPr>
          <w:p>
            <w:pPr>
              <w:autoSpaceDE w:val="0"/>
              <w:autoSpaceDN w:val="0"/>
              <w:adjustRightInd w:val="0"/>
              <w:spacing w:line="480" w:lineRule="exact"/>
              <w:ind w:firstLine="480"/>
              <w:rPr>
                <w:rFonts w:hAnsi="宋体" w:cs="宋体"/>
                <w:bCs/>
                <w:szCs w:val="21"/>
                <w:lang w:val="zh-CN"/>
              </w:rPr>
            </w:pPr>
            <w:r>
              <w:rPr>
                <w:rFonts w:hint="eastAsia" w:hAnsi="宋体" w:cs="宋体"/>
                <w:bCs/>
                <w:szCs w:val="21"/>
                <w:lang w:val="zh-CN"/>
              </w:rPr>
              <w:t xml:space="preserve">日期：                   </w:t>
            </w:r>
          </w:p>
        </w:tc>
      </w:tr>
    </w:tbl>
    <w:p>
      <w:pPr>
        <w:spacing w:line="360" w:lineRule="auto"/>
        <w:jc w:val="left"/>
        <w:rPr>
          <w:rFonts w:ascii="宋体" w:hAnsi="宋体" w:cs="宋体"/>
          <w:kern w:val="0"/>
          <w:szCs w:val="21"/>
        </w:rPr>
      </w:pPr>
    </w:p>
    <w:p>
      <w:pPr>
        <w:spacing w:line="360" w:lineRule="auto"/>
        <w:jc w:val="left"/>
        <w:rPr>
          <w:rFonts w:ascii="宋体" w:hAnsi="宋体" w:cs="宋体"/>
          <w:kern w:val="0"/>
          <w:szCs w:val="21"/>
        </w:rPr>
      </w:pPr>
    </w:p>
    <w:p>
      <w:pPr>
        <w:spacing w:line="360" w:lineRule="auto"/>
        <w:jc w:val="left"/>
        <w:rPr>
          <w:rFonts w:ascii="宋体" w:hAnsi="宋体" w:cs="宋体"/>
          <w:kern w:val="0"/>
          <w:szCs w:val="21"/>
        </w:rPr>
      </w:pPr>
    </w:p>
    <w:p>
      <w:pPr>
        <w:spacing w:line="360" w:lineRule="auto"/>
        <w:jc w:val="left"/>
        <w:rPr>
          <w:rFonts w:ascii="宋体" w:hAnsi="宋体" w:cs="宋体"/>
          <w:kern w:val="0"/>
          <w:szCs w:val="21"/>
        </w:rPr>
      </w:pPr>
    </w:p>
    <w:p>
      <w:pPr>
        <w:spacing w:line="360" w:lineRule="auto"/>
        <w:rPr>
          <w:rFonts w:ascii="宋体" w:hAnsi="宋体" w:cs="宋体"/>
          <w:szCs w:val="21"/>
        </w:rPr>
      </w:pPr>
    </w:p>
    <w:p>
      <w:pPr>
        <w:rPr>
          <w:rFonts w:hint="eastAsia" w:asciiTheme="minorEastAsia" w:hAnsiTheme="minorEastAsia" w:eastAsiaTheme="minorEastAsia" w:cstheme="minorEastAsia"/>
          <w:b/>
          <w:iCs/>
          <w:w w:val="80"/>
          <w:sz w:val="44"/>
          <w:szCs w:val="44"/>
        </w:rPr>
      </w:pPr>
      <w:r>
        <w:rPr>
          <w:rFonts w:hint="eastAsia" w:ascii="宋体" w:hAnsi="宋体" w:cs="宋体"/>
          <w:b/>
          <w:iCs/>
          <w:w w:val="80"/>
          <w:sz w:val="44"/>
          <w:szCs w:val="44"/>
        </w:rPr>
        <w:br w:type="page"/>
      </w:r>
    </w:p>
    <w:p>
      <w:pPr>
        <w:pStyle w:val="12"/>
        <w:tabs>
          <w:tab w:val="left" w:pos="1050"/>
          <w:tab w:val="right" w:leader="dot" w:pos="9402"/>
        </w:tabs>
        <w:spacing w:line="520" w:lineRule="exact"/>
        <w:ind w:left="0" w:leftChars="0"/>
        <w:jc w:val="center"/>
        <w:outlineLvl w:val="0"/>
        <w:rPr>
          <w:rFonts w:hint="eastAsia" w:asciiTheme="minorEastAsia" w:hAnsiTheme="minorEastAsia" w:eastAsiaTheme="minorEastAsia" w:cstheme="minorEastAsia"/>
          <w:b/>
          <w:iCs/>
          <w:w w:val="80"/>
          <w:sz w:val="44"/>
          <w:szCs w:val="44"/>
        </w:rPr>
      </w:pPr>
      <w:r>
        <w:rPr>
          <w:rFonts w:hint="eastAsia" w:asciiTheme="minorEastAsia" w:hAnsiTheme="minorEastAsia" w:eastAsiaTheme="minorEastAsia" w:cstheme="minorEastAsia"/>
          <w:b/>
          <w:iCs/>
          <w:w w:val="80"/>
          <w:sz w:val="44"/>
          <w:szCs w:val="44"/>
        </w:rPr>
        <w:t>第六章   合同授予</w:t>
      </w:r>
    </w:p>
    <w:p>
      <w:pPr>
        <w:spacing w:line="520" w:lineRule="exact"/>
        <w:ind w:firstLine="484" w:firstLineChars="202"/>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kern w:val="0"/>
          <w:sz w:val="24"/>
          <w:szCs w:val="24"/>
        </w:rPr>
        <w:t>成交供应商在《成交通知书》发出</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日内须按照磋商文件确定的事项签订合同。</w:t>
      </w:r>
      <w:r>
        <w:rPr>
          <w:rFonts w:hint="eastAsia" w:asciiTheme="minorEastAsia" w:hAnsiTheme="minorEastAsia" w:eastAsiaTheme="minorEastAsia" w:cstheme="minorEastAsia"/>
          <w:sz w:val="24"/>
          <w:szCs w:val="24"/>
        </w:rPr>
        <w:t>合同一式陆份，采购人</w:t>
      </w:r>
      <w:r>
        <w:rPr>
          <w:rFonts w:hint="eastAsia" w:asciiTheme="minorEastAsia" w:hAnsiTheme="minorEastAsia" w:eastAsiaTheme="minorEastAsia" w:cstheme="minorEastAsia"/>
          <w:sz w:val="24"/>
          <w:szCs w:val="24"/>
          <w:lang w:eastAsia="zh-CN"/>
        </w:rPr>
        <w:t>四份</w:t>
      </w:r>
      <w:r>
        <w:rPr>
          <w:rFonts w:hint="eastAsia" w:asciiTheme="minorEastAsia" w:hAnsiTheme="minorEastAsia" w:eastAsiaTheme="minorEastAsia" w:cstheme="minorEastAsia"/>
          <w:sz w:val="24"/>
          <w:szCs w:val="24"/>
        </w:rPr>
        <w:t>、供应商</w:t>
      </w:r>
      <w:r>
        <w:rPr>
          <w:rFonts w:hint="eastAsia" w:asciiTheme="minorEastAsia" w:hAnsiTheme="minorEastAsia" w:eastAsiaTheme="minorEastAsia" w:cstheme="minorEastAsia"/>
          <w:sz w:val="24"/>
          <w:szCs w:val="24"/>
          <w:lang w:eastAsia="zh-CN"/>
        </w:rPr>
        <w:t>两</w:t>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kern w:val="0"/>
          <w:sz w:val="24"/>
          <w:szCs w:val="24"/>
        </w:rPr>
        <w:t xml:space="preserve">。所签合同不得对磋商文件作实质性修改。采购单位不得向成交供应商提出不合理的要求作为签订合同的条件，不得与成交供应商私下订立背离磋商文件实质性内容的协议。 </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二、采购单位按合同约定积极配合中标人履约，中标人履约到位后，请以书面形式向采购单位提出验收申请，采购单位接到申请后原则上在5个工作日内及时组织相关专业人员，必要时邀请政府相关部门共同参与验收，并出具验收报告，验收合格的原则上5个工作日内支付相应款项。</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三、采购单位故意推迟项目验收时间的，与中标人串通或要求中标人通过降低服务标准的，在履行合同中要求中标人出具虚假发票或任意更改销售发票的，谋取不正当利益的，承担相应的法律责任。</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四、中标人出现违约情形，应当及时纠正或补偿；造成损失的，按合同约定追究违约责任；发现有违法情形的，应由采购单位移交工商、质监、公安等行政执法部门依法查处。</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五、按政府采购合同约定支付的合同款，实行财政国库直接支付。</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六、不响应付款方式的，视同响应文件无效，按无效响应文件处理。</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七、付款方式详见磋商文件第五章。</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八、以上项目款的支付不计息。</w:t>
      </w:r>
    </w:p>
    <w:p>
      <w:pPr>
        <w:snapToGrid w:val="0"/>
        <w:spacing w:line="520" w:lineRule="exact"/>
        <w:ind w:firstLine="573"/>
        <w:jc w:val="center"/>
        <w:rPr>
          <w:rFonts w:hint="eastAsia" w:asciiTheme="minorEastAsia" w:hAnsiTheme="minorEastAsia" w:eastAsiaTheme="minorEastAsia" w:cstheme="minorEastAsia"/>
          <w:b/>
          <w:w w:val="80"/>
          <w:kern w:val="44"/>
          <w:sz w:val="44"/>
          <w:szCs w:val="44"/>
        </w:rPr>
      </w:pPr>
    </w:p>
    <w:p>
      <w:pPr>
        <w:snapToGrid w:val="0"/>
        <w:spacing w:line="520" w:lineRule="exact"/>
        <w:ind w:firstLine="573"/>
        <w:jc w:val="center"/>
        <w:rPr>
          <w:rFonts w:hint="eastAsia" w:asciiTheme="minorEastAsia" w:hAnsiTheme="minorEastAsia" w:eastAsiaTheme="minorEastAsia" w:cstheme="minorEastAsia"/>
          <w:b/>
          <w:w w:val="80"/>
          <w:kern w:val="44"/>
          <w:sz w:val="44"/>
          <w:szCs w:val="44"/>
        </w:rPr>
      </w:pPr>
    </w:p>
    <w:p>
      <w:pPr>
        <w:snapToGrid w:val="0"/>
        <w:spacing w:line="520" w:lineRule="exact"/>
        <w:ind w:firstLine="573"/>
        <w:jc w:val="center"/>
        <w:rPr>
          <w:rFonts w:hint="eastAsia" w:asciiTheme="minorEastAsia" w:hAnsiTheme="minorEastAsia" w:eastAsiaTheme="minorEastAsia" w:cstheme="minorEastAsia"/>
          <w:b/>
          <w:w w:val="80"/>
          <w:kern w:val="44"/>
          <w:sz w:val="44"/>
          <w:szCs w:val="44"/>
        </w:rPr>
      </w:pPr>
    </w:p>
    <w:p>
      <w:pPr>
        <w:snapToGrid w:val="0"/>
        <w:spacing w:line="520" w:lineRule="exact"/>
        <w:ind w:firstLine="573"/>
        <w:jc w:val="center"/>
        <w:rPr>
          <w:rFonts w:hint="eastAsia" w:asciiTheme="minorEastAsia" w:hAnsiTheme="minorEastAsia" w:eastAsiaTheme="minorEastAsia" w:cstheme="minorEastAsia"/>
          <w:b/>
          <w:w w:val="80"/>
          <w:kern w:val="44"/>
          <w:sz w:val="44"/>
          <w:szCs w:val="44"/>
        </w:rPr>
      </w:pPr>
    </w:p>
    <w:p>
      <w:pPr>
        <w:snapToGrid w:val="0"/>
        <w:spacing w:line="520" w:lineRule="exact"/>
        <w:ind w:firstLine="57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w w:val="80"/>
          <w:kern w:val="44"/>
          <w:sz w:val="44"/>
          <w:szCs w:val="44"/>
        </w:rPr>
        <w:br w:type="page"/>
      </w:r>
      <w:r>
        <w:rPr>
          <w:rFonts w:hint="eastAsia" w:asciiTheme="minorEastAsia" w:hAnsiTheme="minorEastAsia" w:eastAsiaTheme="minorEastAsia" w:cstheme="minorEastAsia"/>
          <w:b/>
          <w:w w:val="80"/>
          <w:kern w:val="44"/>
          <w:sz w:val="44"/>
          <w:szCs w:val="44"/>
        </w:rPr>
        <w:t>第七章  质疑提出和处理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格式请在南通公共资源交易网“下载中心--有关质疑资料”下载</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一、质疑的提出</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1、质疑人必须是直接参加本次磋商活动的当事人。</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对不能提供相关佐证材料的、涉及商业秘密的、非书面形式的、非送达的、匿名的《质疑函》将不予受理。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相关佐证材料要具备客观性、关联性、合法性，无法查实的（如宣传册、媒体报道、猜测、推理等）不能作为佐证材料。</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采购单位或采购代理机构不负责搜集相关佐证材料等工作。</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二、《质疑函》的受理和回复</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1、《质疑函》须由质疑人的法定代表人或参加本次磋商被授权人送达采购单位和采购代理机构。</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4、采购单位、采购代理机构负责将质疑人提出的质疑相关材料提供给相关专家或评审小组审核，并将审核意见回复质疑人。</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5、因质疑情况复杂，组织论证或审查时间较长的，采购单位、采购代理机构以书面形式通知质疑人，可适当延长质疑回复处理时间。</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三、质疑处理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1、质疑成立的处理。采购单位或采购代理机构终止采购，并建议有关部门给相关当事人予以处理。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2、质疑不成立的处理。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1）质疑人书面《申请撤回质疑函》的，不作违约处理。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2）质疑人在规定的时间内不配合进行质疑调查处理的，按自动撤回《质疑函》处理。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3）质疑人不按《质疑函》格式就提出质疑的，作违约处理。同时，视情列入不良供应商名单。</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5）质疑人不能提供相关佐证材料的，采购单位、采购代理机构已指出，质疑人仍然坚持提出质疑的，作违约处理。同时，列入不良供应商名单。</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公共资源交易网、省、国家级相关媒体予以披露。</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7）质疑人承担使用虚假材料或恶意方式质疑的法律责任。</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六、《质疑函》、《质疑回复函》，质疑、举报、投诉不成立的等相关情况，视情在南通公共资源交易网、省、国家级等相关媒体予以披露。并建议相关政府采购机构对该供应商同步实施1至3年内禁入。</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七、质疑供应商对采购单位或代理机构的答复不满意或者采购单位或代理机构未在规定的时间内作出答复的，可以在答复期满后15个工作日内向政府采购监督管理部门投诉。</w:t>
      </w:r>
    </w:p>
    <w:p>
      <w:pPr>
        <w:spacing w:line="500" w:lineRule="exact"/>
        <w:ind w:firstLine="480" w:firstLineChars="200"/>
        <w:rPr>
          <w:rFonts w:hint="eastAsia" w:asciiTheme="minorEastAsia" w:hAnsiTheme="minorEastAsia" w:eastAsiaTheme="minorEastAsia" w:cstheme="minorEastAsia"/>
          <w:bCs/>
          <w:sz w:val="24"/>
          <w:szCs w:val="24"/>
        </w:rPr>
      </w:pPr>
    </w:p>
    <w:p>
      <w:pPr>
        <w:pStyle w:val="3"/>
        <w:keepNext w:val="0"/>
        <w:keepLines w:val="0"/>
        <w:numPr>
          <w:ilvl w:val="0"/>
          <w:numId w:val="6"/>
        </w:numPr>
        <w:adjustRightInd w:val="0"/>
        <w:snapToGrid w:val="0"/>
        <w:spacing w:before="0" w:after="0" w:line="800" w:lineRule="exact"/>
        <w:jc w:val="center"/>
        <w:textAlignment w:val="baseline"/>
        <w:rPr>
          <w:rFonts w:hint="eastAsia" w:asciiTheme="minorEastAsia" w:hAnsiTheme="minorEastAsia" w:eastAsiaTheme="minorEastAsia" w:cstheme="minorEastAsia"/>
          <w:w w:val="80"/>
          <w:szCs w:val="44"/>
        </w:rPr>
      </w:pPr>
      <w:r>
        <w:rPr>
          <w:rFonts w:hint="eastAsia" w:asciiTheme="minorEastAsia" w:hAnsiTheme="minorEastAsia" w:eastAsiaTheme="minorEastAsia" w:cstheme="minorEastAsia"/>
          <w:w w:val="80"/>
          <w:szCs w:val="44"/>
        </w:rPr>
        <w:br w:type="page"/>
      </w:r>
      <w:r>
        <w:rPr>
          <w:rFonts w:hint="eastAsia" w:asciiTheme="minorEastAsia" w:hAnsiTheme="minorEastAsia" w:eastAsiaTheme="minorEastAsia" w:cstheme="minorEastAsia"/>
          <w:w w:val="80"/>
          <w:szCs w:val="44"/>
        </w:rPr>
        <w:t xml:space="preserve"> 响应文件组成及格式</w:t>
      </w:r>
    </w:p>
    <w:p>
      <w:pPr>
        <w:rPr>
          <w:rFonts w:hint="eastAsia" w:asciiTheme="minorEastAsia" w:hAnsiTheme="minorEastAsia" w:eastAsiaTheme="minorEastAsia" w:cstheme="minorEastAsia"/>
        </w:rPr>
      </w:pP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响应文件由资格审查文件、技术响应文件、商务报价响应文件三部分组成。本次竞争性磋商采用资格后审方式，供应商须将资格审查文件作为响应文件组成部分，按磋商文件要求装订密封后一起递交。 </w:t>
      </w:r>
    </w:p>
    <w:p>
      <w:pPr>
        <w:keepNext w:val="0"/>
        <w:keepLines w:val="0"/>
        <w:pageBreakBefore w:val="0"/>
        <w:kinsoku/>
        <w:wordWrap/>
        <w:overflowPunct/>
        <w:topLinePunct w:val="0"/>
        <w:autoSpaceDE/>
        <w:autoSpaceDN/>
        <w:bidi w:val="0"/>
        <w:adjustRightInd w:val="0"/>
        <w:snapToGrid w:val="0"/>
        <w:spacing w:line="440" w:lineRule="exact"/>
        <w:ind w:firstLine="487" w:firstLineChars="202"/>
        <w:jc w:val="left"/>
        <w:textAlignment w:val="auto"/>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一、资格审查文件（单独密封）：</w:t>
      </w:r>
    </w:p>
    <w:p>
      <w:pPr>
        <w:keepNext w:val="0"/>
        <w:keepLines w:val="0"/>
        <w:pageBreakBefore w:val="0"/>
        <w:widowControl/>
        <w:numPr>
          <w:ilvl w:val="0"/>
          <w:numId w:val="0"/>
        </w:numPr>
        <w:kinsoku/>
        <w:wordWrap/>
        <w:overflowPunct/>
        <w:topLinePunct w:val="0"/>
        <w:autoSpaceDE/>
        <w:autoSpaceDN/>
        <w:bidi w:val="0"/>
        <w:snapToGrid w:val="0"/>
        <w:spacing w:line="44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1、</w:t>
      </w:r>
      <w:r>
        <w:rPr>
          <w:rFonts w:hint="eastAsia" w:asciiTheme="minorEastAsia" w:hAnsiTheme="minorEastAsia" w:eastAsiaTheme="minorEastAsia" w:cstheme="minorEastAsia"/>
          <w:sz w:val="24"/>
          <w:szCs w:val="24"/>
        </w:rPr>
        <w:t>投标供应商必须具有独立的法人资格，提供有效的营业执照及税务登记证</w:t>
      </w:r>
      <w:r>
        <w:rPr>
          <w:rFonts w:hint="eastAsia" w:asciiTheme="minorEastAsia" w:hAnsiTheme="minorEastAsia" w:eastAsiaTheme="minorEastAsia" w:cstheme="minorEastAsia"/>
          <w:sz w:val="24"/>
          <w:szCs w:val="24"/>
          <w:lang w:eastAsia="zh-CN"/>
        </w:rPr>
        <w:t>复印件</w:t>
      </w:r>
      <w:r>
        <w:rPr>
          <w:rFonts w:hint="eastAsia" w:asciiTheme="minorEastAsia" w:hAnsiTheme="minorEastAsia" w:eastAsiaTheme="minorEastAsia" w:cstheme="minorEastAsia"/>
          <w:sz w:val="24"/>
          <w:szCs w:val="24"/>
        </w:rPr>
        <w:t>（或者是三证合一的营业执照</w:t>
      </w:r>
      <w:r>
        <w:rPr>
          <w:rFonts w:hint="eastAsia" w:asciiTheme="minorEastAsia" w:hAnsiTheme="minorEastAsia" w:eastAsiaTheme="minorEastAsia" w:cstheme="minorEastAsia"/>
          <w:sz w:val="24"/>
          <w:szCs w:val="24"/>
          <w:lang w:eastAsia="zh-CN"/>
        </w:rPr>
        <w:t>复印件</w:t>
      </w:r>
      <w:r>
        <w:rPr>
          <w:rFonts w:hint="eastAsia" w:asciiTheme="minorEastAsia" w:hAnsiTheme="minorEastAsia" w:eastAsiaTheme="minorEastAsia" w:cstheme="minorEastAsia"/>
          <w:sz w:val="24"/>
          <w:szCs w:val="24"/>
        </w:rPr>
        <w:t>），营业执照具有相关经营范围，有能力提供本次采购项目所要求的服务。</w:t>
      </w:r>
    </w:p>
    <w:p>
      <w:pPr>
        <w:pStyle w:val="2"/>
        <w:keepNext w:val="0"/>
        <w:keepLines w:val="0"/>
        <w:pageBreakBefore w:val="0"/>
        <w:kinsoku/>
        <w:wordWrap/>
        <w:overflowPunct/>
        <w:topLinePunct w:val="0"/>
        <w:autoSpaceDE/>
        <w:autoSpaceDN/>
        <w:bidi w:val="0"/>
        <w:spacing w:line="440" w:lineRule="exact"/>
        <w:textAlignment w:val="auto"/>
        <w:rPr>
          <w:rFonts w:hint="eastAsia"/>
        </w:rPr>
      </w:pPr>
      <w:r>
        <w:rPr>
          <w:rFonts w:hint="eastAsia" w:asciiTheme="minorEastAsia" w:hAnsiTheme="minorEastAsia" w:eastAsiaTheme="minorEastAsia" w:cstheme="minorEastAsia"/>
          <w:sz w:val="24"/>
          <w:szCs w:val="24"/>
          <w:lang w:val="en-US" w:eastAsia="zh-CN"/>
        </w:rPr>
        <w:t xml:space="preserve">    2、</w:t>
      </w:r>
      <w:r>
        <w:rPr>
          <w:rFonts w:hint="eastAsia" w:asciiTheme="minorEastAsia" w:hAnsiTheme="minorEastAsia" w:eastAsiaTheme="minorEastAsia" w:cstheme="minorEastAsia"/>
          <w:sz w:val="24"/>
          <w:szCs w:val="24"/>
        </w:rPr>
        <w:t>投标供应商有效的涉密信息系统集成</w:t>
      </w:r>
      <w:r>
        <w:rPr>
          <w:rFonts w:hint="eastAsia" w:asciiTheme="minorEastAsia" w:hAnsiTheme="minorEastAsia" w:eastAsiaTheme="minorEastAsia" w:cstheme="minorEastAsia"/>
          <w:sz w:val="24"/>
          <w:szCs w:val="24"/>
          <w:lang w:eastAsia="zh-CN"/>
        </w:rPr>
        <w:t>乙级及以上资质证书复印件。</w:t>
      </w:r>
    </w:p>
    <w:p>
      <w:pPr>
        <w:keepNext w:val="0"/>
        <w:keepLines w:val="0"/>
        <w:pageBreakBefore w:val="0"/>
        <w:widowControl/>
        <w:kinsoku/>
        <w:wordWrap/>
        <w:overflowPunct/>
        <w:topLinePunct w:val="0"/>
        <w:autoSpaceDE/>
        <w:autoSpaceDN/>
        <w:bidi w:val="0"/>
        <w:snapToGrid w:val="0"/>
        <w:spacing w:line="440" w:lineRule="exact"/>
        <w:ind w:firstLine="480" w:firstLineChars="200"/>
        <w:jc w:val="left"/>
        <w:textAlignment w:val="auto"/>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、投标供应商法定</w:t>
      </w:r>
      <w:r>
        <w:rPr>
          <w:rFonts w:hint="eastAsia" w:asciiTheme="minorEastAsia" w:hAnsiTheme="minorEastAsia" w:eastAsiaTheme="minorEastAsia" w:cstheme="minorEastAsia"/>
          <w:color w:val="000000"/>
          <w:sz w:val="24"/>
          <w:szCs w:val="22"/>
        </w:rPr>
        <w:t>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①与投标供应商签订的有效劳动合同复印件；②社保机构出具并盖章的投标供应商为其缴纳</w:t>
      </w:r>
      <w:bookmarkStart w:id="27" w:name="_GoBack"/>
      <w:bookmarkEnd w:id="27"/>
      <w:r>
        <w:rPr>
          <w:rFonts w:hint="eastAsia" w:asciiTheme="minorEastAsia" w:hAnsiTheme="minorEastAsia" w:eastAsiaTheme="minorEastAsia" w:cstheme="minorEastAsia"/>
          <w:color w:val="000000"/>
          <w:sz w:val="24"/>
          <w:szCs w:val="22"/>
        </w:rPr>
        <w:t>201</w:t>
      </w:r>
      <w:r>
        <w:rPr>
          <w:rFonts w:hint="eastAsia" w:asciiTheme="minorEastAsia" w:hAnsiTheme="minorEastAsia" w:eastAsiaTheme="minorEastAsia" w:cstheme="minorEastAsia"/>
          <w:color w:val="000000"/>
          <w:sz w:val="24"/>
          <w:szCs w:val="22"/>
          <w:lang w:val="en-US" w:eastAsia="zh-CN"/>
        </w:rPr>
        <w:t>9</w:t>
      </w:r>
      <w:r>
        <w:rPr>
          <w:rFonts w:hint="eastAsia" w:asciiTheme="minorEastAsia" w:hAnsiTheme="minorEastAsia" w:eastAsiaTheme="minorEastAsia" w:cstheme="minorEastAsia"/>
          <w:color w:val="000000"/>
          <w:sz w:val="24"/>
          <w:szCs w:val="22"/>
        </w:rPr>
        <w:t>年</w:t>
      </w:r>
      <w:r>
        <w:rPr>
          <w:rFonts w:hint="eastAsia" w:asciiTheme="minorEastAsia" w:hAnsiTheme="minorEastAsia" w:eastAsiaTheme="minorEastAsia" w:cstheme="minorEastAsia"/>
          <w:color w:val="000000"/>
          <w:sz w:val="24"/>
          <w:szCs w:val="22"/>
          <w:lang w:val="en-US" w:eastAsia="zh-CN"/>
        </w:rPr>
        <w:t>5</w:t>
      </w:r>
      <w:r>
        <w:rPr>
          <w:rFonts w:hint="eastAsia" w:asciiTheme="minorEastAsia" w:hAnsiTheme="minorEastAsia" w:eastAsiaTheme="minorEastAsia" w:cstheme="minorEastAsia"/>
          <w:color w:val="000000"/>
          <w:sz w:val="24"/>
          <w:szCs w:val="22"/>
        </w:rPr>
        <w:t>月-2019年</w:t>
      </w:r>
      <w:r>
        <w:rPr>
          <w:rFonts w:hint="eastAsia" w:asciiTheme="minorEastAsia" w:hAnsiTheme="minorEastAsia" w:eastAsiaTheme="minorEastAsia" w:cstheme="minorEastAsia"/>
          <w:color w:val="000000"/>
          <w:sz w:val="24"/>
          <w:szCs w:val="22"/>
          <w:lang w:val="en-US" w:eastAsia="zh-CN"/>
        </w:rPr>
        <w:t>10</w:t>
      </w:r>
      <w:r>
        <w:rPr>
          <w:rFonts w:hint="eastAsia" w:asciiTheme="minorEastAsia" w:hAnsiTheme="minorEastAsia" w:eastAsiaTheme="minorEastAsia" w:cstheme="minorEastAsia"/>
          <w:color w:val="000000"/>
          <w:sz w:val="24"/>
          <w:szCs w:val="22"/>
        </w:rPr>
        <w:t>月连续六个月的养老保险缴费清单复印件】。</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lang w:val="en-US" w:eastAsia="zh-CN"/>
        </w:rPr>
        <w:t>4</w:t>
      </w:r>
      <w:r>
        <w:rPr>
          <w:rFonts w:hint="eastAsia" w:asciiTheme="minorEastAsia" w:hAnsiTheme="minorEastAsia" w:eastAsiaTheme="minorEastAsia" w:cstheme="minorEastAsia"/>
          <w:color w:val="000000"/>
          <w:sz w:val="24"/>
          <w:szCs w:val="22"/>
        </w:rPr>
        <w:t>、投标供应商须提供参与本次项目政府采购活动前三年内，在经营活动中没有重大违法记录的书面《无重大违法记录声明函》（格式参见第八章）。</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rPr>
      </w:pPr>
      <w:r>
        <w:rPr>
          <w:rFonts w:hint="eastAsia" w:asciiTheme="minorEastAsia" w:hAnsiTheme="minorEastAsia" w:eastAsiaTheme="minorEastAsia" w:cstheme="minorEastAsia"/>
          <w:color w:val="000000"/>
          <w:sz w:val="24"/>
          <w:szCs w:val="22"/>
          <w:lang w:val="en-US" w:eastAsia="zh-CN"/>
        </w:rPr>
        <w:t>5</w:t>
      </w:r>
      <w:r>
        <w:rPr>
          <w:rFonts w:hint="eastAsia" w:asciiTheme="minorEastAsia" w:hAnsiTheme="minorEastAsia" w:eastAsiaTheme="minorEastAsia" w:cstheme="minorEastAsia"/>
          <w:color w:val="000000"/>
          <w:sz w:val="24"/>
          <w:szCs w:val="22"/>
        </w:rPr>
        <w:t>、关于资格文件的声明函（格式参见第八章）</w:t>
      </w:r>
      <w:r>
        <w:rPr>
          <w:rFonts w:hint="eastAsia" w:asciiTheme="minorEastAsia" w:hAnsiTheme="minorEastAsia" w:eastAsiaTheme="minorEastAsia" w:cstheme="minorEastAsia"/>
          <w:color w:val="000000"/>
          <w:sz w:val="24"/>
          <w:szCs w:val="22"/>
          <w:lang w:eastAsia="zh-CN"/>
        </w:rPr>
        <w:t>。</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以上材料如为复印件均需加盖投标单位公章。</w:t>
      </w:r>
    </w:p>
    <w:p>
      <w:pPr>
        <w:keepNext w:val="0"/>
        <w:keepLines w:val="0"/>
        <w:pageBreakBefore w:val="0"/>
        <w:kinsoku/>
        <w:wordWrap/>
        <w:overflowPunct/>
        <w:topLinePunct w:val="0"/>
        <w:autoSpaceDE/>
        <w:autoSpaceDN/>
        <w:bidi w:val="0"/>
        <w:spacing w:line="4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二、技术响应文件（单独密封）：</w:t>
      </w:r>
    </w:p>
    <w:p>
      <w:pPr>
        <w:keepNext w:val="0"/>
        <w:keepLines w:val="0"/>
        <w:pageBreakBefore w:val="0"/>
        <w:kinsoku/>
        <w:wordWrap/>
        <w:overflowPunct/>
        <w:topLinePunct w:val="0"/>
        <w:autoSpaceDE/>
        <w:autoSpaceDN/>
        <w:bidi w:val="0"/>
        <w:adjustRightInd w:val="0"/>
        <w:snapToGrid w:val="0"/>
        <w:spacing w:line="440" w:lineRule="exact"/>
        <w:ind w:firstLine="484" w:firstLineChars="202"/>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1、磋商文件中所涉及的事项需提供的所有资料；</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2、磋商文件中未涉及的事项，投标供应商认为需要提交的其他资料。</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 xml:space="preserve">特别提醒：“资格审查文件”、“技术响应文件”所须提供的材料按磋商文件要求装订，密封，递交。“资格审查文件”、“技术响应文件”涉及的相关原件请带至开标现场备查。未携带原件或因携带原件不全所引起的后果由投标人自行承担。 </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三、商务报价响应文件（单独密封）</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1.竞争性磋商响应函（格式参见第八章）；</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2.磋商响应报价总表（格式参见第八章）；</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3.磋商响应报价明细表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格式</w:t>
      </w:r>
      <w:r>
        <w:rPr>
          <w:rFonts w:hint="eastAsia" w:asciiTheme="minorEastAsia" w:hAnsiTheme="minorEastAsia" w:eastAsiaTheme="minorEastAsia" w:cstheme="minorEastAsia"/>
          <w:sz w:val="24"/>
          <w:szCs w:val="24"/>
          <w:lang w:eastAsia="zh-CN"/>
        </w:rPr>
        <w:t>自拟</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p>
    <w:p>
      <w:pPr>
        <w:widowControl/>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br w:type="page"/>
      </w:r>
      <w:r>
        <w:rPr>
          <w:rFonts w:hint="eastAsia" w:asciiTheme="minorEastAsia" w:hAnsiTheme="minorEastAsia" w:eastAsiaTheme="minorEastAsia" w:cstheme="minorEastAsia"/>
          <w:b/>
          <w:sz w:val="24"/>
          <w:szCs w:val="24"/>
        </w:rPr>
        <w:t>附件:</w:t>
      </w:r>
    </w:p>
    <w:p>
      <w:pPr>
        <w:snapToGrid w:val="0"/>
        <w:spacing w:line="520" w:lineRule="exact"/>
        <w:jc w:val="center"/>
        <w:outlineLvl w:val="4"/>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1、法定代表人身份证明</w:t>
      </w:r>
    </w:p>
    <w:p>
      <w:pPr>
        <w:snapToGrid w:val="0"/>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（法定代表人参加投标，须出示此证明）</w:t>
      </w:r>
    </w:p>
    <w:p>
      <w:pPr>
        <w:snapToGrid w:val="0"/>
        <w:spacing w:line="520" w:lineRule="exact"/>
        <w:jc w:val="center"/>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江苏省南通市人民检察院</w:t>
      </w:r>
      <w:r>
        <w:rPr>
          <w:rFonts w:hint="eastAsia" w:asciiTheme="minorEastAsia" w:hAnsiTheme="minorEastAsia" w:eastAsiaTheme="minorEastAsia" w:cstheme="minorEastAsia"/>
          <w:sz w:val="24"/>
          <w:szCs w:val="24"/>
        </w:rPr>
        <w:t>：</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我公司法定代表人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参加贵单位组织的</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（竞争性磋商项目名称)项目的磋商活动，全权代表我公司处理该磋商活动的有关事宜。</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附：法定代表人情况：</w:t>
      </w:r>
    </w:p>
    <w:p>
      <w:pPr>
        <w:snapToGrid w:val="0"/>
        <w:spacing w:line="520" w:lineRule="exac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性别：</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年龄：</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职务：</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传真：</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单位名称（公章）             法定代表人（签字或盖章）</w:t>
      </w:r>
    </w:p>
    <w:p>
      <w:pPr>
        <w:snapToGrid w:val="0"/>
        <w:spacing w:line="520" w:lineRule="exact"/>
        <w:ind w:firstLine="1200" w:firstLineChars="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年   月   日                 年   月    日  </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法定代表人身份证复印件</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ind w:firstLine="2280" w:firstLineChars="9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（粘贴此处）</w:t>
      </w:r>
    </w:p>
    <w:p>
      <w:pPr>
        <w:snapToGrid w:val="0"/>
        <w:spacing w:line="52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注:参加磋商活动时法定代表人将身份证原件带至开标现场备查。</w:t>
      </w:r>
    </w:p>
    <w:p>
      <w:pPr>
        <w:snapToGrid w:val="0"/>
        <w:spacing w:line="520" w:lineRule="exact"/>
        <w:jc w:val="center"/>
        <w:outlineLvl w:val="4"/>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b/>
          <w:bCs/>
          <w:sz w:val="24"/>
          <w:szCs w:val="24"/>
        </w:rPr>
        <w:t>2、授权委托书</w:t>
      </w:r>
    </w:p>
    <w:p>
      <w:pPr>
        <w:snapToGrid w:val="0"/>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（委托代理人参加投标，须出示此证明）</w:t>
      </w:r>
    </w:p>
    <w:p>
      <w:pPr>
        <w:snapToGrid w:val="0"/>
        <w:spacing w:line="52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u w:val="single"/>
        </w:rPr>
        <w:t>江苏省南通市人民检察院</w:t>
      </w:r>
      <w:r>
        <w:rPr>
          <w:rFonts w:hint="eastAsia" w:asciiTheme="minorEastAsia" w:hAnsiTheme="minorEastAsia" w:eastAsiaTheme="minorEastAsia" w:cstheme="minorEastAsia"/>
          <w:sz w:val="24"/>
          <w:szCs w:val="24"/>
        </w:rPr>
        <w:t>：</w:t>
      </w:r>
    </w:p>
    <w:p>
      <w:pPr>
        <w:snapToGrid w:val="0"/>
        <w:spacing w:line="520" w:lineRule="exact"/>
        <w:ind w:left="1"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被授权人的姓名）代表我公司参加</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（竞争性磋商项目名称)项目的磋商活动，全权处理一切与该项目磋商有关的事务。其在办理上述事宜过程中所签署的所有文件我公司均予以承认。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被授权人无转委托权。特此委托。</w:t>
      </w:r>
    </w:p>
    <w:p>
      <w:pPr>
        <w:snapToGrid w:val="0"/>
        <w:spacing w:line="520" w:lineRule="exact"/>
        <w:ind w:left="1" w:firstLine="480" w:firstLineChars="200"/>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附：被授权人情况：</w:t>
      </w:r>
    </w:p>
    <w:p>
      <w:pPr>
        <w:snapToGrid w:val="0"/>
        <w:spacing w:line="520" w:lineRule="exac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性别：</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年龄：</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职务：</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传真：</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单位名称（公章）             法定代表人（签字或盖章）</w:t>
      </w:r>
    </w:p>
    <w:p>
      <w:pPr>
        <w:snapToGrid w:val="0"/>
        <w:spacing w:line="520" w:lineRule="exact"/>
        <w:ind w:firstLine="1200" w:firstLineChars="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年   月   日                 年   月    日  </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被授权人身份证复印件</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jc w:val="center"/>
        <w:rPr>
          <w:rFonts w:hint="eastAsia" w:asciiTheme="minorEastAsia" w:hAnsiTheme="minorEastAsia" w:eastAsiaTheme="minorEastAsia" w:cstheme="minorEastAsia"/>
          <w:sz w:val="24"/>
          <w:szCs w:val="24"/>
        </w:rPr>
      </w:pPr>
    </w:p>
    <w:p>
      <w:pPr>
        <w:snapToGrid w:val="0"/>
        <w:spacing w:line="52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（粘贴此处）</w:t>
      </w:r>
    </w:p>
    <w:p>
      <w:pPr>
        <w:snapToGrid w:val="0"/>
        <w:spacing w:line="520" w:lineRule="exact"/>
        <w:ind w:firstLine="482" w:firstLineChars="20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注:参加磋商活动时被授权人将身份证原件带至开标现场备查。</w:t>
      </w:r>
    </w:p>
    <w:p>
      <w:pPr>
        <w:overflowPunct w:val="0"/>
        <w:adjustRightInd w:val="0"/>
        <w:spacing w:line="360" w:lineRule="auto"/>
        <w:jc w:val="center"/>
        <w:textAlignment w:val="baseline"/>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b/>
          <w:bCs/>
          <w:sz w:val="28"/>
          <w:szCs w:val="28"/>
        </w:rPr>
        <w:t>、无重大违法记录声明</w:t>
      </w:r>
    </w:p>
    <w:p>
      <w:pPr>
        <w:spacing w:line="360" w:lineRule="auto"/>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u w:val="single"/>
        </w:rPr>
        <w:t>江苏省南通市人民检察院：</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我单位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color w:val="000000"/>
          <w:sz w:val="24"/>
          <w:szCs w:val="24"/>
        </w:rPr>
        <w:t>（供应商名称）郑重声明：</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参加政府采购活动前3年内在经营活动中____（在下划线上如实填写：有或没有）重大违法记录。</w:t>
      </w:r>
    </w:p>
    <w:p>
      <w:pPr>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声明人：（公章）</w:t>
      </w:r>
    </w:p>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年     月    日</w:t>
      </w:r>
    </w:p>
    <w:p>
      <w:pPr>
        <w:snapToGrid w:val="0"/>
        <w:spacing w:line="520" w:lineRule="exact"/>
        <w:jc w:val="center"/>
        <w:outlineLvl w:val="4"/>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4"/>
          <w:szCs w:val="24"/>
        </w:rPr>
        <w:br w:type="page"/>
      </w:r>
      <w:r>
        <w:rPr>
          <w:rFonts w:hint="eastAsia" w:asciiTheme="minorEastAsia" w:hAnsiTheme="minorEastAsia" w:eastAsiaTheme="minorEastAsia" w:cstheme="minorEastAsia"/>
          <w:b/>
          <w:sz w:val="24"/>
          <w:szCs w:val="24"/>
        </w:rPr>
        <w:t>4</w:t>
      </w:r>
      <w:r>
        <w:rPr>
          <w:rFonts w:hint="eastAsia" w:asciiTheme="minorEastAsia" w:hAnsiTheme="minorEastAsia" w:eastAsiaTheme="minorEastAsia" w:cstheme="minorEastAsia"/>
          <w:b/>
          <w:bCs/>
          <w:sz w:val="28"/>
          <w:szCs w:val="28"/>
        </w:rPr>
        <w:t>、关于资格文件的声明函</w:t>
      </w:r>
    </w:p>
    <w:p>
      <w:pPr>
        <w:pStyle w:val="7"/>
        <w:overflowPunct w:val="0"/>
        <w:spacing w:line="520" w:lineRule="exact"/>
        <w:jc w:val="center"/>
        <w:rPr>
          <w:rFonts w:hint="eastAsia" w:asciiTheme="minorEastAsia" w:hAnsiTheme="minorEastAsia" w:eastAsiaTheme="minorEastAsia" w:cstheme="minorEastAsia"/>
          <w:sz w:val="28"/>
          <w:szCs w:val="28"/>
        </w:rPr>
      </w:pPr>
    </w:p>
    <w:p>
      <w:pPr>
        <w:pStyle w:val="7"/>
        <w:overflowPunct w:val="0"/>
        <w:spacing w:line="520" w:lineRule="exact"/>
        <w:ind w:firstLine="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u w:val="single"/>
        </w:rPr>
        <w:t>江苏省南通市人民检察院</w:t>
      </w:r>
      <w:r>
        <w:rPr>
          <w:rFonts w:hint="eastAsia" w:asciiTheme="minorEastAsia" w:hAnsiTheme="minorEastAsia" w:eastAsiaTheme="minorEastAsia" w:cstheme="minorEastAsia"/>
          <w:szCs w:val="24"/>
        </w:rPr>
        <w:t>：</w:t>
      </w:r>
    </w:p>
    <w:p>
      <w:pPr>
        <w:pStyle w:val="7"/>
        <w:overflowPunct w:val="0"/>
        <w:spacing w:line="520" w:lineRule="exact"/>
        <w:ind w:firstLine="66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本公司愿就由贵单位组织实施的_____（招标项目名称)招标活动进行投标。本公司所提交的投标文件中所有关于投标资格的文件、证明和陈述均是真实的、准确的。若与真实情况不符，本公司愿意承担由此而产生的一切后果。</w:t>
      </w:r>
    </w:p>
    <w:p>
      <w:pPr>
        <w:pStyle w:val="7"/>
        <w:overflowPunct w:val="0"/>
        <w:spacing w:line="520" w:lineRule="exact"/>
        <w:rPr>
          <w:rFonts w:hint="eastAsia" w:asciiTheme="minorEastAsia" w:hAnsiTheme="minorEastAsia" w:eastAsiaTheme="minorEastAsia" w:cstheme="minorEastAsia"/>
          <w:szCs w:val="24"/>
        </w:rPr>
      </w:pPr>
    </w:p>
    <w:p>
      <w:pPr>
        <w:pStyle w:val="7"/>
        <w:overflowPunct w:val="0"/>
        <w:spacing w:line="520" w:lineRule="exact"/>
        <w:rPr>
          <w:rFonts w:hint="eastAsia" w:asciiTheme="minorEastAsia" w:hAnsiTheme="minorEastAsia" w:eastAsiaTheme="minorEastAsia" w:cstheme="minorEastAsia"/>
          <w:szCs w:val="24"/>
        </w:rPr>
      </w:pPr>
    </w:p>
    <w:p>
      <w:pPr>
        <w:pStyle w:val="7"/>
        <w:overflowPunct w:val="0"/>
        <w:spacing w:line="520" w:lineRule="exact"/>
        <w:rPr>
          <w:rFonts w:hint="eastAsia" w:asciiTheme="minorEastAsia" w:hAnsiTheme="minorEastAsia" w:eastAsiaTheme="minorEastAsia" w:cstheme="minorEastAsia"/>
          <w:szCs w:val="24"/>
        </w:rPr>
      </w:pPr>
    </w:p>
    <w:p>
      <w:pPr>
        <w:pStyle w:val="7"/>
        <w:overflowPunct w:val="0"/>
        <w:spacing w:line="52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 xml:space="preserve">        （投标供应商）法定代表人（签字或盖章）：</w:t>
      </w:r>
    </w:p>
    <w:p>
      <w:pPr>
        <w:pStyle w:val="7"/>
        <w:overflowPunct w:val="0"/>
        <w:spacing w:line="520" w:lineRule="exact"/>
        <w:ind w:left="1700" w:firstLine="425"/>
        <w:rPr>
          <w:rFonts w:hint="eastAsia" w:asciiTheme="minorEastAsia" w:hAnsiTheme="minorEastAsia" w:eastAsiaTheme="minorEastAsia" w:cstheme="minorEastAsia"/>
          <w:szCs w:val="24"/>
        </w:rPr>
      </w:pPr>
    </w:p>
    <w:p>
      <w:pPr>
        <w:pStyle w:val="7"/>
        <w:overflowPunct w:val="0"/>
        <w:spacing w:line="520" w:lineRule="exact"/>
        <w:ind w:left="1700" w:firstLine="425"/>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（投标供应商）公章：</w:t>
      </w:r>
    </w:p>
    <w:p>
      <w:pPr>
        <w:pStyle w:val="7"/>
        <w:overflowPunct w:val="0"/>
        <w:spacing w:line="520" w:lineRule="exact"/>
        <w:ind w:right="560"/>
        <w:rPr>
          <w:rFonts w:hint="eastAsia" w:asciiTheme="minorEastAsia" w:hAnsiTheme="minorEastAsia" w:eastAsiaTheme="minorEastAsia" w:cstheme="minorEastAsia"/>
          <w:szCs w:val="24"/>
        </w:rPr>
      </w:pPr>
    </w:p>
    <w:p>
      <w:pPr>
        <w:pStyle w:val="7"/>
        <w:overflowPunct w:val="0"/>
        <w:spacing w:line="520" w:lineRule="exact"/>
        <w:ind w:right="560" w:firstLine="4320" w:firstLineChars="18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年</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 xml:space="preserve"> 月 </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日</w:t>
      </w:r>
    </w:p>
    <w:p>
      <w:pPr>
        <w:pStyle w:val="7"/>
        <w:overflowPunct w:val="0"/>
        <w:spacing w:line="520" w:lineRule="exact"/>
        <w:ind w:right="560" w:firstLine="4320" w:firstLineChars="18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br w:type="page"/>
      </w:r>
    </w:p>
    <w:p>
      <w:pPr>
        <w:snapToGrid w:val="0"/>
        <w:spacing w:line="520" w:lineRule="exact"/>
        <w:ind w:firstLine="562" w:firstLineChars="20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5、竞争性磋商响应函</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江苏省南通市人民检察院</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依据贵单位委托代理机构组织的</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（磋商项目名称)项目竞争性磋商的邀请，我方授权</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（职务）为全权代表参加该项目的磋商工作，全权处理本次竞争性磋商的有关事宜。同时，我公司声明如下：</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480" w:firstLineChars="200"/>
        <w:textAlignment w:val="auto"/>
        <w:rPr>
          <w:rFonts w:hAnsi="宋体" w:cs="宋体"/>
          <w:sz w:val="24"/>
          <w:szCs w:val="24"/>
          <w:highlight w:val="none"/>
        </w:rPr>
      </w:pPr>
      <w:r>
        <w:rPr>
          <w:rFonts w:hint="eastAsia" w:asciiTheme="minorEastAsia" w:hAnsiTheme="minorEastAsia" w:eastAsiaTheme="minorEastAsia" w:cstheme="minorEastAsia"/>
          <w:sz w:val="24"/>
          <w:szCs w:val="24"/>
        </w:rPr>
        <w:t>1、我公司愿意按照竞争性磋商文件</w:t>
      </w:r>
      <w:r>
        <w:rPr>
          <w:rFonts w:hint="eastAsia" w:asciiTheme="minorEastAsia" w:hAnsiTheme="minorEastAsia" w:eastAsiaTheme="minorEastAsia" w:cstheme="minorEastAsia"/>
          <w:sz w:val="24"/>
          <w:szCs w:val="24"/>
          <w:highlight w:val="none"/>
        </w:rPr>
        <w:t>的一切要求，提供完成该项目的全部内容，</w:t>
      </w:r>
      <w:r>
        <w:rPr>
          <w:rFonts w:hint="eastAsia" w:hAnsi="宋体" w:cs="宋体"/>
          <w:sz w:val="24"/>
          <w:szCs w:val="24"/>
          <w:highlight w:val="none"/>
          <w:lang w:eastAsia="zh-CN"/>
        </w:rPr>
        <w:t>本项目</w:t>
      </w:r>
      <w:r>
        <w:rPr>
          <w:rFonts w:hint="eastAsia" w:hAnsi="宋体" w:cs="宋体"/>
          <w:sz w:val="24"/>
          <w:szCs w:val="24"/>
          <w:highlight w:val="none"/>
        </w:rPr>
        <w:t>服务期内项目需求中所有软件发生故障、损耗或升级，产生的一切费用均由</w:t>
      </w:r>
      <w:r>
        <w:rPr>
          <w:rFonts w:hint="eastAsia" w:hAnsi="宋体" w:cs="宋体"/>
          <w:sz w:val="24"/>
          <w:szCs w:val="24"/>
          <w:highlight w:val="none"/>
          <w:lang w:eastAsia="zh-CN"/>
        </w:rPr>
        <w:t>我公司</w:t>
      </w:r>
      <w:r>
        <w:rPr>
          <w:rFonts w:hint="eastAsia" w:hAnsi="宋体" w:cs="宋体"/>
          <w:sz w:val="24"/>
          <w:szCs w:val="24"/>
          <w:highlight w:val="none"/>
        </w:rPr>
        <w:t>负责。</w:t>
      </w:r>
      <w:r>
        <w:rPr>
          <w:rFonts w:hint="eastAsia" w:ascii="宋体" w:hAnsi="宋体" w:cs="Lucida Sans Unicode"/>
          <w:sz w:val="24"/>
          <w:szCs w:val="24"/>
          <w:highlight w:val="none"/>
        </w:rPr>
        <w:t>发生设备硬件损坏等问题</w:t>
      </w:r>
      <w:r>
        <w:rPr>
          <w:rFonts w:hint="eastAsia" w:ascii="宋体" w:hAnsi="宋体" w:cs="Lucida Sans Unicode"/>
          <w:sz w:val="24"/>
          <w:szCs w:val="24"/>
          <w:highlight w:val="none"/>
          <w:lang w:eastAsia="zh-CN"/>
        </w:rPr>
        <w:t>单价</w:t>
      </w:r>
      <w:r>
        <w:rPr>
          <w:rFonts w:hint="eastAsia" w:ascii="宋体" w:hAnsi="宋体" w:cs="Lucida Sans Unicode"/>
          <w:sz w:val="24"/>
          <w:szCs w:val="24"/>
          <w:highlight w:val="none"/>
        </w:rPr>
        <w:t>在5</w:t>
      </w:r>
      <w:r>
        <w:rPr>
          <w:rFonts w:ascii="宋体" w:hAnsi="宋体" w:cs="Lucida Sans Unicode"/>
          <w:sz w:val="24"/>
          <w:szCs w:val="24"/>
          <w:highlight w:val="none"/>
        </w:rPr>
        <w:t>000</w:t>
      </w:r>
      <w:r>
        <w:rPr>
          <w:rFonts w:hint="eastAsia" w:ascii="宋体" w:hAnsi="宋体" w:cs="Lucida Sans Unicode"/>
          <w:sz w:val="24"/>
          <w:szCs w:val="24"/>
          <w:highlight w:val="none"/>
        </w:rPr>
        <w:t>元（人民币）以下的由</w:t>
      </w:r>
      <w:r>
        <w:rPr>
          <w:rFonts w:hint="eastAsia" w:ascii="宋体" w:hAnsi="宋体" w:cs="Lucida Sans Unicode"/>
          <w:sz w:val="24"/>
          <w:szCs w:val="24"/>
          <w:highlight w:val="none"/>
          <w:lang w:eastAsia="zh-CN"/>
        </w:rPr>
        <w:t>我公司</w:t>
      </w:r>
      <w:r>
        <w:rPr>
          <w:rFonts w:hint="eastAsia" w:ascii="宋体" w:hAnsi="宋体" w:cs="Lucida Sans Unicode"/>
          <w:sz w:val="24"/>
          <w:szCs w:val="24"/>
          <w:highlight w:val="none"/>
        </w:rPr>
        <w:t>负责，</w:t>
      </w:r>
      <w:r>
        <w:rPr>
          <w:rFonts w:hint="eastAsia" w:ascii="宋体" w:hAnsi="宋体" w:cs="Lucida Sans Unicode"/>
          <w:sz w:val="24"/>
          <w:szCs w:val="24"/>
          <w:highlight w:val="none"/>
          <w:lang w:eastAsia="zh-CN"/>
        </w:rPr>
        <w:t>单价</w:t>
      </w:r>
      <w:r>
        <w:rPr>
          <w:rFonts w:hint="eastAsia" w:ascii="宋体" w:hAnsi="宋体" w:cs="Lucida Sans Unicode"/>
          <w:sz w:val="24"/>
          <w:szCs w:val="24"/>
          <w:highlight w:val="none"/>
        </w:rPr>
        <w:t>在5</w:t>
      </w:r>
      <w:r>
        <w:rPr>
          <w:rFonts w:ascii="宋体" w:hAnsi="宋体" w:cs="Lucida Sans Unicode"/>
          <w:sz w:val="24"/>
          <w:szCs w:val="24"/>
          <w:highlight w:val="none"/>
        </w:rPr>
        <w:t>000</w:t>
      </w:r>
      <w:r>
        <w:rPr>
          <w:rFonts w:hint="eastAsia" w:ascii="宋体" w:hAnsi="宋体" w:cs="Lucida Sans Unicode"/>
          <w:sz w:val="24"/>
          <w:szCs w:val="24"/>
          <w:highlight w:val="none"/>
        </w:rPr>
        <w:t>元（人民币）以上（含5</w:t>
      </w:r>
      <w:r>
        <w:rPr>
          <w:rFonts w:ascii="宋体" w:hAnsi="宋体" w:cs="Lucida Sans Unicode"/>
          <w:sz w:val="24"/>
          <w:szCs w:val="24"/>
          <w:highlight w:val="none"/>
        </w:rPr>
        <w:t>000</w:t>
      </w:r>
      <w:r>
        <w:rPr>
          <w:rFonts w:hint="eastAsia" w:ascii="宋体" w:hAnsi="宋体" w:cs="Lucida Sans Unicode"/>
          <w:sz w:val="24"/>
          <w:szCs w:val="24"/>
          <w:highlight w:val="none"/>
        </w:rPr>
        <w:t>元）的由</w:t>
      </w:r>
      <w:r>
        <w:rPr>
          <w:rFonts w:hint="eastAsia" w:ascii="宋体" w:hAnsi="宋体" w:cs="Lucida Sans Unicode"/>
          <w:sz w:val="24"/>
          <w:szCs w:val="24"/>
          <w:highlight w:val="none"/>
          <w:lang w:eastAsia="zh-CN"/>
        </w:rPr>
        <w:t>采购人</w:t>
      </w:r>
      <w:r>
        <w:rPr>
          <w:rFonts w:hint="eastAsia" w:ascii="宋体" w:hAnsi="宋体" w:cs="Lucida Sans Unicode"/>
          <w:sz w:val="24"/>
          <w:szCs w:val="24"/>
          <w:highlight w:val="none"/>
        </w:rPr>
        <w:t>负责</w:t>
      </w:r>
      <w:r>
        <w:rPr>
          <w:rFonts w:hint="eastAsia" w:ascii="宋体" w:hAnsi="宋体" w:cs="Lucida Sans Unicode"/>
          <w:sz w:val="24"/>
          <w:szCs w:val="24"/>
          <w:highlight w:val="none"/>
          <w:lang w:eastAsia="zh-CN"/>
        </w:rPr>
        <w:t>。我方同意，</w:t>
      </w:r>
      <w:r>
        <w:rPr>
          <w:rFonts w:hint="eastAsia" w:ascii="宋体" w:hAnsi="宋体" w:cs="宋体"/>
          <w:sz w:val="24"/>
          <w:szCs w:val="24"/>
          <w:highlight w:val="none"/>
        </w:rPr>
        <w:t>中标后,采购人不保证维保设备的完好性,</w:t>
      </w:r>
      <w:r>
        <w:rPr>
          <w:rFonts w:hint="eastAsia" w:ascii="宋体" w:hAnsi="宋体" w:cs="宋体"/>
          <w:sz w:val="24"/>
          <w:szCs w:val="24"/>
          <w:highlight w:val="none"/>
          <w:lang w:eastAsia="zh-CN"/>
        </w:rPr>
        <w:t>我公司</w:t>
      </w:r>
      <w:r>
        <w:rPr>
          <w:rFonts w:hint="eastAsia" w:ascii="宋体" w:hAnsi="宋体" w:cs="宋体"/>
          <w:sz w:val="24"/>
          <w:szCs w:val="24"/>
          <w:highlight w:val="none"/>
        </w:rPr>
        <w:t>在合同签订后30日内，对所有被维护对象进行全面检查，在此基础上对系统进行调优，对故障器件进行更换</w:t>
      </w:r>
      <w:r>
        <w:rPr>
          <w:rFonts w:hint="eastAsia" w:ascii="宋体" w:hAnsi="宋体" w:cs="宋体"/>
          <w:sz w:val="24"/>
          <w:szCs w:val="24"/>
          <w:highlight w:val="none"/>
          <w:lang w:eastAsia="zh-CN"/>
        </w:rPr>
        <w:t>。</w:t>
      </w:r>
      <w:r>
        <w:rPr>
          <w:rFonts w:hint="eastAsia" w:hAnsi="宋体" w:cs="宋体"/>
          <w:sz w:val="24"/>
          <w:szCs w:val="24"/>
          <w:highlight w:val="none"/>
        </w:rPr>
        <w:t>总报价（以人民币计价）包括但不限于设备维修费、软件安装升级、清洁费、工具费、辅材费、人工劳务费、维护保养费、性能测试费、</w:t>
      </w:r>
      <w:r>
        <w:rPr>
          <w:rFonts w:hint="eastAsia" w:hAnsi="宋体" w:cs="宋体"/>
          <w:sz w:val="24"/>
          <w:szCs w:val="24"/>
          <w:highlight w:val="none"/>
          <w:lang w:eastAsia="zh-CN"/>
        </w:rPr>
        <w:t>单价</w:t>
      </w:r>
      <w:r>
        <w:rPr>
          <w:rFonts w:hint="eastAsia" w:hAnsi="宋体" w:cs="宋体"/>
          <w:sz w:val="24"/>
          <w:szCs w:val="24"/>
          <w:highlight w:val="none"/>
          <w:lang w:val="en-US" w:eastAsia="zh-CN"/>
        </w:rPr>
        <w:t>5000元以下的</w:t>
      </w:r>
      <w:r>
        <w:rPr>
          <w:rFonts w:hint="eastAsia" w:hAnsi="宋体" w:cs="宋体"/>
          <w:sz w:val="24"/>
          <w:szCs w:val="24"/>
          <w:highlight w:val="none"/>
        </w:rPr>
        <w:t>零部件材料费、易耗品、维保及相关劳务支出等工作所发生的全部费用以及企业利润、税金和政策性文件规定及合同包含的所有风险、责任等各项应有费用。即本项目壹年服务期内所有维保费用等，同时还包含为完成本项目所必须的其他辅助工作的相关费用及响应竞争性磋商文件要求的所有费用。</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2、我公司已经详细阅读了竞争性磋商文件的全部</w:t>
      </w:r>
      <w:r>
        <w:rPr>
          <w:rFonts w:hint="eastAsia" w:asciiTheme="minorEastAsia" w:hAnsiTheme="minorEastAsia" w:eastAsiaTheme="minorEastAsia" w:cstheme="minorEastAsia"/>
          <w:sz w:val="24"/>
          <w:szCs w:val="24"/>
        </w:rPr>
        <w:t>内容，我公司已完全清晰理解竞争性磋商文件的要求，不存在任何含糊不清和误解之处，同意放弃对竞争性磋商文件所表述的内容提出异议和质疑的权利。</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3、我公司已毫无保留地向贵方提供一切所需的证明材料。</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4、我公司承诺在本次磋商响应中提供的一切文件，无论是原件还是复印件均真实有效，绝无任何虚假、伪造和夸大的成份。否则，愿承担相应的后果和法律责任。</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5、我公司尊重磋商小组所作的评定结果，同时清楚理解到报价最低并非意味着必定获得成交资格。</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6、一旦成交，我公司承诺无正当理由拒绝签订合同，将被贵方取消成交资格，同意贵方将磋商保证金作为违约金全额不予退还的处理。</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bCs/>
          <w:sz w:val="24"/>
          <w:szCs w:val="24"/>
        </w:rPr>
        <w:t>一旦成交，我方将根据竞争性磋商文件的规定，严格履行合同规定的责任和义务，并保证在竞争性磋商文件中规定的时间期限内完成合同项目。</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right"/>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竞争性磋商响应单位：（加盖公章）</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right"/>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法定代表人或被授权人：（签字或盖章）</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right"/>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spacing w:line="500" w:lineRule="exact"/>
        <w:ind w:left="487"/>
        <w:jc w:val="center"/>
        <w:outlineLvl w:val="3"/>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4"/>
          <w:szCs w:val="24"/>
        </w:rPr>
        <w:br w:type="page"/>
      </w:r>
      <w:r>
        <w:rPr>
          <w:rFonts w:hint="eastAsia" w:asciiTheme="minorEastAsia" w:hAnsiTheme="minorEastAsia" w:eastAsiaTheme="minorEastAsia" w:cstheme="minorEastAsia"/>
          <w:b/>
          <w:bCs/>
          <w:sz w:val="28"/>
          <w:szCs w:val="28"/>
        </w:rPr>
        <w:t>6、磋商响应报价总表</w:t>
      </w:r>
    </w:p>
    <w:p>
      <w:pPr>
        <w:kinsoku w:val="0"/>
        <w:topLinePunct/>
        <w:snapToGrid w:val="0"/>
        <w:spacing w:line="5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项目名称：</w:t>
      </w:r>
    </w:p>
    <w:tbl>
      <w:tblPr>
        <w:tblStyle w:val="20"/>
        <w:tblW w:w="9654" w:type="dxa"/>
        <w:tblInd w:w="-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5"/>
        <w:gridCol w:w="2126"/>
        <w:gridCol w:w="4536"/>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16" w:hRule="atLeast"/>
        </w:trPr>
        <w:tc>
          <w:tcPr>
            <w:tcW w:w="8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报价轮次</w:t>
            </w:r>
          </w:p>
        </w:tc>
        <w:tc>
          <w:tcPr>
            <w:tcW w:w="453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磋商总报价（元）</w:t>
            </w:r>
          </w:p>
        </w:tc>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8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p>
        </w:tc>
        <w:tc>
          <w:tcPr>
            <w:tcW w:w="212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首次报价</w:t>
            </w:r>
          </w:p>
        </w:tc>
        <w:tc>
          <w:tcPr>
            <w:tcW w:w="453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大写（人民币）：</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小写（￥）：</w:t>
            </w:r>
          </w:p>
        </w:tc>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hint="eastAsia" w:asciiTheme="minorEastAsia" w:hAnsiTheme="minorEastAsia" w:eastAsiaTheme="minorEastAsia" w:cstheme="minorEastAsia"/>
                <w:sz w:val="24"/>
                <w:szCs w:val="24"/>
              </w:rPr>
            </w:pPr>
          </w:p>
        </w:tc>
      </w:tr>
    </w:tbl>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投标人：（盖章）             </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kinsoku w:val="0"/>
        <w:topLinePunct/>
        <w:snapToGrid w:val="0"/>
        <w:spacing w:line="5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w:t>
      </w:r>
    </w:p>
    <w:p>
      <w:pPr>
        <w:numPr>
          <w:ilvl w:val="0"/>
          <w:numId w:val="7"/>
        </w:numPr>
        <w:kinsoku w:val="0"/>
        <w:topLinePunct/>
        <w:snapToGrid w:val="0"/>
        <w:spacing w:line="520" w:lineRule="exact"/>
        <w:rPr>
          <w:rFonts w:hAnsi="宋体" w:cs="宋体"/>
          <w:sz w:val="24"/>
          <w:szCs w:val="24"/>
          <w:highlight w:val="none"/>
        </w:rPr>
      </w:pPr>
      <w:r>
        <w:rPr>
          <w:rFonts w:hint="eastAsia" w:asciiTheme="minorEastAsia" w:hAnsiTheme="minorEastAsia" w:eastAsiaTheme="minorEastAsia" w:cstheme="minorEastAsia"/>
          <w:sz w:val="24"/>
          <w:szCs w:val="24"/>
          <w:highlight w:val="none"/>
        </w:rPr>
        <w:t>本表为格式表，不得自行改动，必须提供。</w:t>
      </w:r>
    </w:p>
    <w:p>
      <w:pPr>
        <w:numPr>
          <w:ilvl w:val="0"/>
          <w:numId w:val="7"/>
        </w:numPr>
        <w:kinsoku w:val="0"/>
        <w:topLinePunct/>
        <w:snapToGrid w:val="0"/>
        <w:spacing w:line="520" w:lineRule="exact"/>
        <w:rPr>
          <w:rFonts w:hAnsi="宋体" w:cs="宋体"/>
          <w:sz w:val="24"/>
          <w:szCs w:val="24"/>
          <w:highlight w:val="none"/>
        </w:rPr>
      </w:pPr>
      <w:r>
        <w:rPr>
          <w:rFonts w:hint="eastAsia" w:hAnsi="宋体" w:cs="宋体"/>
          <w:sz w:val="24"/>
          <w:szCs w:val="24"/>
          <w:highlight w:val="none"/>
          <w:lang w:eastAsia="zh-CN"/>
        </w:rPr>
        <w:t>本项目</w:t>
      </w:r>
      <w:r>
        <w:rPr>
          <w:rFonts w:hint="eastAsia" w:hAnsi="宋体" w:cs="宋体"/>
          <w:sz w:val="24"/>
          <w:szCs w:val="24"/>
          <w:highlight w:val="none"/>
        </w:rPr>
        <w:t>服务期内项目需求中所有软件发生故障、损耗或升级，产生的一切费用均由中标供应商负责。</w:t>
      </w:r>
      <w:r>
        <w:rPr>
          <w:rFonts w:hint="eastAsia" w:ascii="宋体" w:hAnsi="宋体" w:cs="Lucida Sans Unicode"/>
          <w:sz w:val="24"/>
          <w:szCs w:val="24"/>
          <w:highlight w:val="none"/>
        </w:rPr>
        <w:t>发生设备硬件损坏等问题</w:t>
      </w:r>
      <w:r>
        <w:rPr>
          <w:rFonts w:hint="eastAsia" w:ascii="宋体" w:hAnsi="宋体" w:cs="Lucida Sans Unicode"/>
          <w:sz w:val="24"/>
          <w:szCs w:val="24"/>
          <w:highlight w:val="none"/>
          <w:lang w:eastAsia="zh-CN"/>
        </w:rPr>
        <w:t>单价</w:t>
      </w:r>
      <w:r>
        <w:rPr>
          <w:rFonts w:hint="eastAsia" w:ascii="宋体" w:hAnsi="宋体" w:cs="Lucida Sans Unicode"/>
          <w:sz w:val="24"/>
          <w:szCs w:val="24"/>
          <w:highlight w:val="none"/>
        </w:rPr>
        <w:t>在5</w:t>
      </w:r>
      <w:r>
        <w:rPr>
          <w:rFonts w:ascii="宋体" w:hAnsi="宋体" w:cs="Lucida Sans Unicode"/>
          <w:sz w:val="24"/>
          <w:szCs w:val="24"/>
          <w:highlight w:val="none"/>
        </w:rPr>
        <w:t>000</w:t>
      </w:r>
      <w:r>
        <w:rPr>
          <w:rFonts w:hint="eastAsia" w:ascii="宋体" w:hAnsi="宋体" w:cs="Lucida Sans Unicode"/>
          <w:sz w:val="24"/>
          <w:szCs w:val="24"/>
          <w:highlight w:val="none"/>
        </w:rPr>
        <w:t>元（人民币）以下的由运维公司负责，</w:t>
      </w:r>
      <w:r>
        <w:rPr>
          <w:rFonts w:hint="eastAsia" w:ascii="宋体" w:hAnsi="宋体" w:cs="Lucida Sans Unicode"/>
          <w:sz w:val="24"/>
          <w:szCs w:val="24"/>
          <w:highlight w:val="none"/>
          <w:lang w:eastAsia="zh-CN"/>
        </w:rPr>
        <w:t>单价</w:t>
      </w:r>
      <w:r>
        <w:rPr>
          <w:rFonts w:hint="eastAsia" w:ascii="宋体" w:hAnsi="宋体" w:cs="Lucida Sans Unicode"/>
          <w:sz w:val="24"/>
          <w:szCs w:val="24"/>
          <w:highlight w:val="none"/>
        </w:rPr>
        <w:t>在5</w:t>
      </w:r>
      <w:r>
        <w:rPr>
          <w:rFonts w:ascii="宋体" w:hAnsi="宋体" w:cs="Lucida Sans Unicode"/>
          <w:sz w:val="24"/>
          <w:szCs w:val="24"/>
          <w:highlight w:val="none"/>
        </w:rPr>
        <w:t>000</w:t>
      </w:r>
      <w:r>
        <w:rPr>
          <w:rFonts w:hint="eastAsia" w:ascii="宋体" w:hAnsi="宋体" w:cs="Lucida Sans Unicode"/>
          <w:sz w:val="24"/>
          <w:szCs w:val="24"/>
          <w:highlight w:val="none"/>
        </w:rPr>
        <w:t>元（人民币）以上（含5</w:t>
      </w:r>
      <w:r>
        <w:rPr>
          <w:rFonts w:ascii="宋体" w:hAnsi="宋体" w:cs="Lucida Sans Unicode"/>
          <w:sz w:val="24"/>
          <w:szCs w:val="24"/>
          <w:highlight w:val="none"/>
        </w:rPr>
        <w:t>000</w:t>
      </w:r>
      <w:r>
        <w:rPr>
          <w:rFonts w:hint="eastAsia" w:ascii="宋体" w:hAnsi="宋体" w:cs="Lucida Sans Unicode"/>
          <w:sz w:val="24"/>
          <w:szCs w:val="24"/>
          <w:highlight w:val="none"/>
        </w:rPr>
        <w:t>元）的由甲方负责</w:t>
      </w:r>
      <w:r>
        <w:rPr>
          <w:rFonts w:hint="eastAsia" w:ascii="宋体" w:hAnsi="宋体" w:cs="Lucida Sans Unicode"/>
          <w:sz w:val="24"/>
          <w:szCs w:val="24"/>
          <w:highlight w:val="none"/>
          <w:lang w:eastAsia="zh-CN"/>
        </w:rPr>
        <w:t>。</w:t>
      </w:r>
      <w:r>
        <w:rPr>
          <w:rFonts w:hint="eastAsia" w:ascii="宋体" w:hAnsi="宋体" w:cs="宋体"/>
          <w:sz w:val="24"/>
          <w:szCs w:val="24"/>
          <w:highlight w:val="none"/>
        </w:rPr>
        <w:t>中标后,采购人不保证维保设备的完好性,中标供应商在合同签订后30日内，对所有被维护对象进行全面检查，在此基础上对系统进行调优，对故障器件进行更换</w:t>
      </w:r>
      <w:r>
        <w:rPr>
          <w:rFonts w:hint="eastAsia" w:ascii="宋体" w:hAnsi="宋体" w:cs="宋体"/>
          <w:sz w:val="24"/>
          <w:szCs w:val="24"/>
          <w:highlight w:val="none"/>
          <w:lang w:eastAsia="zh-CN"/>
        </w:rPr>
        <w:t>。</w:t>
      </w:r>
      <w:r>
        <w:rPr>
          <w:rFonts w:hint="eastAsia" w:hAnsi="宋体" w:cs="宋体"/>
          <w:sz w:val="24"/>
          <w:szCs w:val="24"/>
          <w:highlight w:val="none"/>
        </w:rPr>
        <w:t>总报价（以人民币计价）包括但不限于设备维修费、软件安装升级、清洁费、工具费、辅材费、人工劳务费、维护保养费、性能测试费、</w:t>
      </w:r>
      <w:r>
        <w:rPr>
          <w:rFonts w:hint="eastAsia" w:hAnsi="宋体" w:cs="宋体"/>
          <w:sz w:val="24"/>
          <w:szCs w:val="24"/>
          <w:highlight w:val="none"/>
          <w:lang w:eastAsia="zh-CN"/>
        </w:rPr>
        <w:t>单价</w:t>
      </w:r>
      <w:r>
        <w:rPr>
          <w:rFonts w:hint="eastAsia" w:hAnsi="宋体" w:cs="宋体"/>
          <w:sz w:val="24"/>
          <w:szCs w:val="24"/>
          <w:highlight w:val="none"/>
          <w:lang w:val="en-US" w:eastAsia="zh-CN"/>
        </w:rPr>
        <w:t>5000元以下的</w:t>
      </w:r>
      <w:r>
        <w:rPr>
          <w:rFonts w:hint="eastAsia" w:hAnsi="宋体" w:cs="宋体"/>
          <w:sz w:val="24"/>
          <w:szCs w:val="24"/>
          <w:highlight w:val="none"/>
        </w:rPr>
        <w:t>零部件材料费、易耗品、维保及相关劳务支出等工作所发生的全部费用以及企业利润、税金和政策性文件规定及合同包含的所有风险、责任等各项应有费用。即本项目壹年服务期内所有维保费用等，同时还包含为完成本项目所必须的其他辅助工作的相关费用及响应竞争性磋商文件要求的所有费用。</w:t>
      </w:r>
    </w:p>
    <w:p>
      <w:pPr>
        <w:kinsoku w:val="0"/>
        <w:topLinePunct/>
        <w:snapToGrid w:val="0"/>
        <w:spacing w:line="5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highlight w:val="none"/>
        </w:rPr>
        <w:t>注：第二次、第三次报价将在开标现场填写，响应文件密封提交时只</w:t>
      </w:r>
      <w:r>
        <w:rPr>
          <w:rFonts w:hint="eastAsia" w:asciiTheme="minorEastAsia" w:hAnsiTheme="minorEastAsia" w:eastAsiaTheme="minorEastAsia" w:cstheme="minorEastAsia"/>
          <w:b/>
          <w:sz w:val="24"/>
          <w:szCs w:val="24"/>
        </w:rPr>
        <w:t>需填写磋商报价总计（首次）。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numPr>
          <w:ilvl w:val="0"/>
          <w:numId w:val="8"/>
        </w:numPr>
        <w:spacing w:line="500" w:lineRule="exact"/>
        <w:jc w:val="center"/>
        <w:outlineLvl w:val="3"/>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磋商响应报价明细表</w:t>
      </w:r>
      <w:r>
        <w:rPr>
          <w:rFonts w:hint="eastAsia" w:asciiTheme="minorEastAsia" w:hAnsiTheme="minorEastAsia" w:eastAsiaTheme="minorEastAsia" w:cstheme="minorEastAsia"/>
          <w:b/>
          <w:bCs/>
          <w:sz w:val="28"/>
          <w:szCs w:val="28"/>
          <w:lang w:eastAsia="zh-CN"/>
        </w:rPr>
        <w:t>（格式自拟）</w:t>
      </w:r>
    </w:p>
    <w:p>
      <w:pPr>
        <w:kinsoku w:val="0"/>
        <w:topLinePunct/>
        <w:snapToGrid w:val="0"/>
        <w:spacing w:line="520" w:lineRule="exact"/>
        <w:rPr>
          <w:rFonts w:hint="eastAsia" w:asciiTheme="minorEastAsia" w:hAnsiTheme="minorEastAsia" w:eastAsiaTheme="minorEastAsia" w:cstheme="minorEastAsia"/>
          <w:sz w:val="24"/>
          <w:szCs w:val="24"/>
        </w:rPr>
      </w:pP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投标人：（盖章）             </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kinsoku w:val="0"/>
        <w:topLinePunct/>
        <w:snapToGrid w:val="0"/>
        <w:spacing w:line="520" w:lineRule="exact"/>
        <w:rPr>
          <w:rFonts w:hint="eastAsia" w:asciiTheme="minorEastAsia" w:hAnsiTheme="minorEastAsia" w:eastAsiaTheme="minorEastAsia" w:cstheme="minorEastAsia"/>
          <w:b/>
          <w:sz w:val="24"/>
          <w:szCs w:val="24"/>
        </w:rPr>
      </w:pPr>
    </w:p>
    <w:p>
      <w:pPr>
        <w:spacing w:line="500" w:lineRule="exact"/>
        <w:outlineLvl w:val="3"/>
        <w:rPr>
          <w:rFonts w:hint="eastAsia" w:asciiTheme="minorEastAsia" w:hAnsiTheme="minorEastAsia" w:eastAsiaTheme="minorEastAsia" w:cstheme="minorEastAsia"/>
          <w:b/>
          <w:bCs/>
          <w:sz w:val="28"/>
          <w:szCs w:val="28"/>
        </w:rPr>
      </w:pPr>
    </w:p>
    <w:sectPr>
      <w:footerReference r:id="rId4" w:type="default"/>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文本框 1025" o:spid="_x0000_s102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ElDSZa8AQAAZQMAAA4AAAAAAAAAAQAgAAAAHgEAAGRycy9lMm9Eb2MueG1sUEsFBgAAAAAG&#10;AAYAWQEAAEwFAAAAAA==&#10;">
          <v:path/>
          <v:fill on="f" focussize="0,0"/>
          <v:stroke on="f" joinstyle="miter"/>
          <v:imagedata o:title=""/>
          <o:lock v:ext="edit"/>
          <v:textbox inset="0mm,0mm,0mm,0mm" style="mso-fit-shape-to-text:t;">
            <w:txbxContent>
              <w:p>
                <w:pPr>
                  <w:pStyle w:val="15"/>
                  <w:jc w:val="center"/>
                </w:pPr>
                <w:r>
                  <w:fldChar w:fldCharType="begin"/>
                </w:r>
                <w:r>
                  <w:instrText xml:space="preserve">PAGE   \* MERGEFORMAT</w:instrText>
                </w:r>
                <w:r>
                  <w:fldChar w:fldCharType="separate"/>
                </w:r>
                <w:r>
                  <w:rPr>
                    <w:lang w:val="zh-CN"/>
                  </w:rPr>
                  <w:t>-</w:t>
                </w:r>
                <w:r>
                  <w:t xml:space="preserve"> 32 -</w:t>
                </w:r>
                <w:r>
                  <w:fldChar w:fldCharType="end"/>
                </w:r>
              </w:p>
            </w:txbxContent>
          </v:textbox>
        </v:shape>
      </w:pict>
    </w:r>
  </w:p>
  <w:p>
    <w:pPr>
      <w:pStyle w:val="15"/>
      <w:wordWrap w:val="0"/>
      <w:ind w:right="18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joinstyle="miter"/>
          <v:imagedata o:title=""/>
          <o:lock v:ext="edit"/>
          <v:textbox inset="0mm,0mm,0mm,0mm" style="mso-fit-shape-to-text:t;">
            <w:txbxContent>
              <w:p>
                <w:pPr>
                  <w:pStyle w:val="15"/>
                  <w:rPr>
                    <w:rStyle w:val="24"/>
                  </w:rPr>
                </w:pPr>
                <w:r>
                  <w:fldChar w:fldCharType="begin"/>
                </w:r>
                <w:r>
                  <w:rPr>
                    <w:rStyle w:val="24"/>
                  </w:rPr>
                  <w:instrText xml:space="preserve">PAGE  </w:instrText>
                </w:r>
                <w:r>
                  <w:fldChar w:fldCharType="separate"/>
                </w:r>
                <w:r>
                  <w:rPr>
                    <w:rStyle w:val="24"/>
                  </w:rPr>
                  <w:t>51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92CBB2"/>
    <w:multiLevelType w:val="singleLevel"/>
    <w:tmpl w:val="8E92CBB2"/>
    <w:lvl w:ilvl="0" w:tentative="0">
      <w:start w:val="3"/>
      <w:numFmt w:val="decimal"/>
      <w:suff w:val="nothing"/>
      <w:lvlText w:val="%1、"/>
      <w:lvlJc w:val="left"/>
    </w:lvl>
  </w:abstractNum>
  <w:abstractNum w:abstractNumId="1">
    <w:nsid w:val="B8FDD9D5"/>
    <w:multiLevelType w:val="singleLevel"/>
    <w:tmpl w:val="B8FDD9D5"/>
    <w:lvl w:ilvl="0" w:tentative="0">
      <w:start w:val="8"/>
      <w:numFmt w:val="chineseCounting"/>
      <w:suff w:val="space"/>
      <w:lvlText w:val="第%1章"/>
      <w:lvlJc w:val="left"/>
      <w:rPr>
        <w:rFonts w:hint="eastAsia"/>
      </w:rPr>
    </w:lvl>
  </w:abstractNum>
  <w:abstractNum w:abstractNumId="2">
    <w:nsid w:val="598E6C04"/>
    <w:multiLevelType w:val="singleLevel"/>
    <w:tmpl w:val="598E6C04"/>
    <w:lvl w:ilvl="0" w:tentative="0">
      <w:start w:val="1"/>
      <w:numFmt w:val="decimal"/>
      <w:suff w:val="nothing"/>
      <w:lvlText w:val="（%1）"/>
      <w:lvlJc w:val="left"/>
    </w:lvl>
  </w:abstractNum>
  <w:abstractNum w:abstractNumId="3">
    <w:nsid w:val="598E707A"/>
    <w:multiLevelType w:val="singleLevel"/>
    <w:tmpl w:val="598E707A"/>
    <w:lvl w:ilvl="0" w:tentative="0">
      <w:start w:val="5"/>
      <w:numFmt w:val="chineseCounting"/>
      <w:suff w:val="space"/>
      <w:lvlText w:val="第%1章"/>
      <w:lvlJc w:val="left"/>
    </w:lvl>
  </w:abstractNum>
  <w:abstractNum w:abstractNumId="4">
    <w:nsid w:val="5C4218EB"/>
    <w:multiLevelType w:val="multilevel"/>
    <w:tmpl w:val="5C4218EB"/>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DF24ACE"/>
    <w:multiLevelType w:val="singleLevel"/>
    <w:tmpl w:val="5DF24ACE"/>
    <w:lvl w:ilvl="0" w:tentative="0">
      <w:start w:val="7"/>
      <w:numFmt w:val="decimal"/>
      <w:suff w:val="nothing"/>
      <w:lvlText w:val="%1、"/>
      <w:lvlJc w:val="left"/>
    </w:lvl>
  </w:abstractNum>
  <w:abstractNum w:abstractNumId="6">
    <w:nsid w:val="5DF25271"/>
    <w:multiLevelType w:val="singleLevel"/>
    <w:tmpl w:val="5DF25271"/>
    <w:lvl w:ilvl="0" w:tentative="0">
      <w:start w:val="1"/>
      <w:numFmt w:val="chineseCounting"/>
      <w:suff w:val="nothing"/>
      <w:lvlText w:val="%1、"/>
      <w:lvlJc w:val="left"/>
      <w:rPr>
        <w:rFonts w:cs="Times New Roman"/>
      </w:rPr>
    </w:lvl>
  </w:abstractNum>
  <w:abstractNum w:abstractNumId="7">
    <w:nsid w:val="7BD7B767"/>
    <w:multiLevelType w:val="singleLevel"/>
    <w:tmpl w:val="7BD7B767"/>
    <w:lvl w:ilvl="0" w:tentative="0">
      <w:start w:val="1"/>
      <w:numFmt w:val="chineseCounting"/>
      <w:suff w:val="nothing"/>
      <w:lvlText w:val="（%1）"/>
      <w:lvlJc w:val="left"/>
      <w:rPr>
        <w:rFonts w:hint="eastAsia"/>
      </w:rPr>
    </w:lvl>
  </w:abstractNum>
  <w:num w:numId="1">
    <w:abstractNumId w:val="6"/>
    <w:lvlOverride w:ilvl="0">
      <w:startOverride w:val="1"/>
    </w:lvlOverride>
  </w:num>
  <w:num w:numId="2">
    <w:abstractNumId w:val="0"/>
  </w:num>
  <w:num w:numId="3">
    <w:abstractNumId w:val="7"/>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44B0718"/>
    <w:rsid w:val="000178D2"/>
    <w:rsid w:val="001059D6"/>
    <w:rsid w:val="00105E2E"/>
    <w:rsid w:val="0011757D"/>
    <w:rsid w:val="0013543D"/>
    <w:rsid w:val="00192D99"/>
    <w:rsid w:val="001B551C"/>
    <w:rsid w:val="0022707D"/>
    <w:rsid w:val="00255D14"/>
    <w:rsid w:val="002743BC"/>
    <w:rsid w:val="00277365"/>
    <w:rsid w:val="00342FA2"/>
    <w:rsid w:val="003E4DC5"/>
    <w:rsid w:val="00464472"/>
    <w:rsid w:val="0046717B"/>
    <w:rsid w:val="00472D79"/>
    <w:rsid w:val="004B6E75"/>
    <w:rsid w:val="004E4FF8"/>
    <w:rsid w:val="00512068"/>
    <w:rsid w:val="00526E10"/>
    <w:rsid w:val="005574AC"/>
    <w:rsid w:val="00565924"/>
    <w:rsid w:val="005767EC"/>
    <w:rsid w:val="005D0A1F"/>
    <w:rsid w:val="006A3871"/>
    <w:rsid w:val="00715CB4"/>
    <w:rsid w:val="007167BB"/>
    <w:rsid w:val="0079362C"/>
    <w:rsid w:val="00852F65"/>
    <w:rsid w:val="008D1D59"/>
    <w:rsid w:val="00907C01"/>
    <w:rsid w:val="0091255C"/>
    <w:rsid w:val="00995CD8"/>
    <w:rsid w:val="009D5F86"/>
    <w:rsid w:val="00A13104"/>
    <w:rsid w:val="00B11F90"/>
    <w:rsid w:val="00B21973"/>
    <w:rsid w:val="00BB6579"/>
    <w:rsid w:val="00BE3794"/>
    <w:rsid w:val="00D53F91"/>
    <w:rsid w:val="00D64019"/>
    <w:rsid w:val="00D66B0B"/>
    <w:rsid w:val="00D80B06"/>
    <w:rsid w:val="00DC6E81"/>
    <w:rsid w:val="00E6299A"/>
    <w:rsid w:val="00E70D28"/>
    <w:rsid w:val="00F43063"/>
    <w:rsid w:val="00F638D9"/>
    <w:rsid w:val="00F7581C"/>
    <w:rsid w:val="00FF41AF"/>
    <w:rsid w:val="01A96ECC"/>
    <w:rsid w:val="01D71780"/>
    <w:rsid w:val="032855F8"/>
    <w:rsid w:val="03664E8D"/>
    <w:rsid w:val="04583B3B"/>
    <w:rsid w:val="04DC2D07"/>
    <w:rsid w:val="07035E41"/>
    <w:rsid w:val="07EC441D"/>
    <w:rsid w:val="08A2692F"/>
    <w:rsid w:val="08D1629C"/>
    <w:rsid w:val="0C8A7445"/>
    <w:rsid w:val="0D6F0144"/>
    <w:rsid w:val="0DC64BF2"/>
    <w:rsid w:val="0EA330F7"/>
    <w:rsid w:val="107534E8"/>
    <w:rsid w:val="11100E8E"/>
    <w:rsid w:val="12576EC4"/>
    <w:rsid w:val="13110BD7"/>
    <w:rsid w:val="13922068"/>
    <w:rsid w:val="14D363D9"/>
    <w:rsid w:val="16BA3A31"/>
    <w:rsid w:val="195E5F23"/>
    <w:rsid w:val="1B630422"/>
    <w:rsid w:val="1CE86D71"/>
    <w:rsid w:val="1D6C55B5"/>
    <w:rsid w:val="1D9A50D9"/>
    <w:rsid w:val="1DD47021"/>
    <w:rsid w:val="206B5636"/>
    <w:rsid w:val="210A1A06"/>
    <w:rsid w:val="21122563"/>
    <w:rsid w:val="213A144A"/>
    <w:rsid w:val="23196DBC"/>
    <w:rsid w:val="236731B9"/>
    <w:rsid w:val="24F04AEE"/>
    <w:rsid w:val="25EC5BF6"/>
    <w:rsid w:val="272A52D2"/>
    <w:rsid w:val="281C28AB"/>
    <w:rsid w:val="2B442EF4"/>
    <w:rsid w:val="2B4642E7"/>
    <w:rsid w:val="2B660DB2"/>
    <w:rsid w:val="2C761B1C"/>
    <w:rsid w:val="2E033906"/>
    <w:rsid w:val="2E3872F6"/>
    <w:rsid w:val="2EC75748"/>
    <w:rsid w:val="30342019"/>
    <w:rsid w:val="323C4E3C"/>
    <w:rsid w:val="34AA514A"/>
    <w:rsid w:val="36B3464F"/>
    <w:rsid w:val="39F50E8A"/>
    <w:rsid w:val="3B5801B5"/>
    <w:rsid w:val="3C053B7F"/>
    <w:rsid w:val="3C303177"/>
    <w:rsid w:val="3DEF3379"/>
    <w:rsid w:val="3F824EAF"/>
    <w:rsid w:val="3FEE4906"/>
    <w:rsid w:val="4318379F"/>
    <w:rsid w:val="441E39A1"/>
    <w:rsid w:val="444B0718"/>
    <w:rsid w:val="450D65F6"/>
    <w:rsid w:val="46380C46"/>
    <w:rsid w:val="463E697E"/>
    <w:rsid w:val="469E5AD3"/>
    <w:rsid w:val="46DC361D"/>
    <w:rsid w:val="474914CD"/>
    <w:rsid w:val="48085D23"/>
    <w:rsid w:val="4808672B"/>
    <w:rsid w:val="490156BE"/>
    <w:rsid w:val="496E48DE"/>
    <w:rsid w:val="49AA0D2C"/>
    <w:rsid w:val="4A397694"/>
    <w:rsid w:val="4A6C59B4"/>
    <w:rsid w:val="4B91469A"/>
    <w:rsid w:val="4C57756C"/>
    <w:rsid w:val="4CA04F14"/>
    <w:rsid w:val="4CCB799A"/>
    <w:rsid w:val="4D6D7254"/>
    <w:rsid w:val="4E274886"/>
    <w:rsid w:val="4E591E97"/>
    <w:rsid w:val="4F680791"/>
    <w:rsid w:val="4FE376EE"/>
    <w:rsid w:val="503E0689"/>
    <w:rsid w:val="507C0372"/>
    <w:rsid w:val="51404BFA"/>
    <w:rsid w:val="52321E33"/>
    <w:rsid w:val="52EF5515"/>
    <w:rsid w:val="53A37EE8"/>
    <w:rsid w:val="54A263D4"/>
    <w:rsid w:val="55830003"/>
    <w:rsid w:val="56452F9B"/>
    <w:rsid w:val="58097412"/>
    <w:rsid w:val="5A3B1344"/>
    <w:rsid w:val="5B3A1905"/>
    <w:rsid w:val="5D86754A"/>
    <w:rsid w:val="5D962D79"/>
    <w:rsid w:val="5EFF36DC"/>
    <w:rsid w:val="5F7B2939"/>
    <w:rsid w:val="5FBB21E6"/>
    <w:rsid w:val="626634EA"/>
    <w:rsid w:val="628A3B23"/>
    <w:rsid w:val="632F0361"/>
    <w:rsid w:val="63741AFC"/>
    <w:rsid w:val="63A14784"/>
    <w:rsid w:val="63B374D3"/>
    <w:rsid w:val="654B0FFE"/>
    <w:rsid w:val="658179B3"/>
    <w:rsid w:val="66077DC5"/>
    <w:rsid w:val="676E6E34"/>
    <w:rsid w:val="677E1DA5"/>
    <w:rsid w:val="68AE2B46"/>
    <w:rsid w:val="69EF4341"/>
    <w:rsid w:val="6ABA535B"/>
    <w:rsid w:val="6ACF7F3C"/>
    <w:rsid w:val="6AD36E74"/>
    <w:rsid w:val="6D5C5379"/>
    <w:rsid w:val="6E252AB0"/>
    <w:rsid w:val="6E571B71"/>
    <w:rsid w:val="6E743E20"/>
    <w:rsid w:val="6EAC65BC"/>
    <w:rsid w:val="6EC3494D"/>
    <w:rsid w:val="6EEC2DC7"/>
    <w:rsid w:val="6F4F2F0B"/>
    <w:rsid w:val="71027343"/>
    <w:rsid w:val="71301829"/>
    <w:rsid w:val="71EF78EA"/>
    <w:rsid w:val="734A52EA"/>
    <w:rsid w:val="749671E4"/>
    <w:rsid w:val="74B119F7"/>
    <w:rsid w:val="75C10F41"/>
    <w:rsid w:val="762F4F48"/>
    <w:rsid w:val="778E6B04"/>
    <w:rsid w:val="782007B7"/>
    <w:rsid w:val="795A46D7"/>
    <w:rsid w:val="7A342338"/>
    <w:rsid w:val="7A37120E"/>
    <w:rsid w:val="7A9A57A7"/>
    <w:rsid w:val="7BAA7470"/>
    <w:rsid w:val="7BD070FE"/>
    <w:rsid w:val="7C0B455F"/>
    <w:rsid w:val="7EEB47D4"/>
    <w:rsid w:val="7F935B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1"/>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0"/>
    <w:pPr>
      <w:adjustRightInd w:val="0"/>
      <w:spacing w:before="0" w:after="0" w:line="360" w:lineRule="atLeast"/>
      <w:outlineLvl w:val="3"/>
    </w:pPr>
    <w:rPr>
      <w:kern w:val="0"/>
      <w:sz w:val="24"/>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Normal Indent"/>
    <w:basedOn w:val="1"/>
    <w:qFormat/>
    <w:uiPriority w:val="0"/>
    <w:pPr>
      <w:adjustRightInd w:val="0"/>
      <w:ind w:firstLine="420"/>
      <w:jc w:val="left"/>
      <w:textAlignment w:val="baseline"/>
    </w:pPr>
    <w:rPr>
      <w:rFonts w:eastAsia="楷体_GB2312"/>
      <w:kern w:val="0"/>
      <w:sz w:val="24"/>
    </w:rPr>
  </w:style>
  <w:style w:type="paragraph" w:styleId="8">
    <w:name w:val="Document Map"/>
    <w:basedOn w:val="1"/>
    <w:link w:val="30"/>
    <w:qFormat/>
    <w:uiPriority w:val="0"/>
    <w:rPr>
      <w:rFonts w:ascii="宋体"/>
      <w:sz w:val="18"/>
      <w:szCs w:val="18"/>
    </w:rPr>
  </w:style>
  <w:style w:type="paragraph" w:styleId="9">
    <w:name w:val="annotation text"/>
    <w:basedOn w:val="1"/>
    <w:qFormat/>
    <w:uiPriority w:val="0"/>
    <w:rPr>
      <w:lang w:val="zh-CN"/>
    </w:rPr>
  </w:style>
  <w:style w:type="paragraph" w:styleId="10">
    <w:name w:val="Body Text Indent"/>
    <w:basedOn w:val="1"/>
    <w:next w:val="11"/>
    <w:qFormat/>
    <w:uiPriority w:val="0"/>
    <w:pPr>
      <w:spacing w:after="120"/>
      <w:ind w:left="420" w:leftChars="200"/>
    </w:pPr>
    <w:rPr>
      <w:szCs w:val="24"/>
    </w:rPr>
  </w:style>
  <w:style w:type="paragraph" w:styleId="11">
    <w:name w:val="envelope return"/>
    <w:basedOn w:val="1"/>
    <w:unhideWhenUsed/>
    <w:qFormat/>
    <w:uiPriority w:val="99"/>
    <w:pPr>
      <w:snapToGrid w:val="0"/>
    </w:pPr>
    <w:rPr>
      <w:rFonts w:ascii="Arial" w:hAnsi="Arial"/>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rPr>
  </w:style>
  <w:style w:type="paragraph" w:styleId="14">
    <w:name w:val="Balloon Text"/>
    <w:basedOn w:val="1"/>
    <w:link w:val="33"/>
    <w:qFormat/>
    <w:uiPriority w:val="0"/>
    <w:rPr>
      <w:sz w:val="18"/>
      <w:szCs w:val="18"/>
    </w:rPr>
  </w:style>
  <w:style w:type="paragraph" w:styleId="15">
    <w:name w:val="footer"/>
    <w:basedOn w:val="1"/>
    <w:qFormat/>
    <w:uiPriority w:val="0"/>
    <w:pPr>
      <w:tabs>
        <w:tab w:val="center" w:pos="4153"/>
        <w:tab w:val="right" w:pos="8306"/>
      </w:tabs>
      <w:snapToGrid w:val="0"/>
      <w:jc w:val="left"/>
    </w:pPr>
    <w:rPr>
      <w:kern w:val="0"/>
      <w:sz w:val="18"/>
      <w:szCs w:val="18"/>
    </w:rPr>
  </w:style>
  <w:style w:type="paragraph" w:styleId="16">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adjustRightInd w:val="0"/>
      <w:jc w:val="left"/>
      <w:textAlignment w:val="baseline"/>
    </w:pPr>
    <w:rPr>
      <w:rFonts w:eastAsia="楷体_GB2312"/>
      <w:sz w:val="24"/>
    </w:rPr>
  </w:style>
  <w:style w:type="paragraph" w:styleId="18">
    <w:name w:val="Normal (Web)"/>
    <w:basedOn w:val="1"/>
    <w:qFormat/>
    <w:uiPriority w:val="0"/>
    <w:pPr>
      <w:widowControl/>
      <w:spacing w:beforeAutospacing="1" w:afterAutospacing="1"/>
      <w:jc w:val="left"/>
    </w:pPr>
    <w:rPr>
      <w:rFonts w:ascii="宋体" w:hAnsi="宋体"/>
      <w:kern w:val="0"/>
      <w:sz w:val="24"/>
    </w:rPr>
  </w:style>
  <w:style w:type="paragraph" w:styleId="19">
    <w:name w:val="Body Text First Indent 2"/>
    <w:basedOn w:val="10"/>
    <w:unhideWhenUsed/>
    <w:qFormat/>
    <w:uiPriority w:val="99"/>
    <w:pPr>
      <w:ind w:firstLine="420" w:firstLineChars="200"/>
    </w:p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page number"/>
    <w:basedOn w:val="22"/>
    <w:qFormat/>
    <w:uiPriority w:val="0"/>
  </w:style>
  <w:style w:type="character" w:styleId="25">
    <w:name w:val="Emphasis"/>
    <w:qFormat/>
    <w:uiPriority w:val="0"/>
    <w:rPr>
      <w:i/>
    </w:rPr>
  </w:style>
  <w:style w:type="character" w:styleId="26">
    <w:name w:val="Hyperlink"/>
    <w:basedOn w:val="22"/>
    <w:qFormat/>
    <w:uiPriority w:val="0"/>
    <w:rPr>
      <w:color w:val="333333"/>
      <w:u w:val="none"/>
    </w:rPr>
  </w:style>
  <w:style w:type="paragraph" w:customStyle="1" w:styleId="27">
    <w:name w:val="No Spacing"/>
    <w:basedOn w:val="1"/>
    <w:qFormat/>
    <w:uiPriority w:val="99"/>
    <w:pPr>
      <w:ind w:firstLine="200" w:firstLineChars="200"/>
      <w:contextualSpacing/>
    </w:pPr>
    <w:rPr>
      <w:rFonts w:ascii="Calibri" w:hAnsi="Calibri" w:eastAsia="仿宋_GB2312" w:cs="宋体"/>
      <w:sz w:val="28"/>
      <w:szCs w:val="28"/>
    </w:rPr>
  </w:style>
  <w:style w:type="paragraph" w:customStyle="1" w:styleId="28">
    <w:name w:val="List Paragraph"/>
    <w:basedOn w:val="1"/>
    <w:qFormat/>
    <w:uiPriority w:val="99"/>
    <w:pPr>
      <w:ind w:firstLine="420" w:firstLineChars="200"/>
    </w:pPr>
    <w:rPr>
      <w:szCs w:val="24"/>
    </w:rPr>
  </w:style>
  <w:style w:type="paragraph" w:customStyle="1" w:styleId="29">
    <w:name w:val="Char Char Char Char"/>
    <w:basedOn w:val="1"/>
    <w:qFormat/>
    <w:uiPriority w:val="0"/>
    <w:rPr>
      <w:szCs w:val="20"/>
    </w:rPr>
  </w:style>
  <w:style w:type="character" w:customStyle="1" w:styleId="30">
    <w:name w:val="文档结构图 Char"/>
    <w:basedOn w:val="22"/>
    <w:link w:val="8"/>
    <w:qFormat/>
    <w:uiPriority w:val="0"/>
    <w:rPr>
      <w:rFonts w:ascii="宋体" w:hAnsi="Times New Roman" w:eastAsia="宋体" w:cs="Times New Roman"/>
      <w:kern w:val="2"/>
      <w:sz w:val="18"/>
      <w:szCs w:val="18"/>
    </w:rPr>
  </w:style>
  <w:style w:type="character" w:customStyle="1" w:styleId="31">
    <w:name w:val="页眉 Char"/>
    <w:basedOn w:val="22"/>
    <w:link w:val="16"/>
    <w:qFormat/>
    <w:uiPriority w:val="0"/>
    <w:rPr>
      <w:rFonts w:ascii="Times New Roman" w:hAnsi="Times New Roman" w:eastAsia="宋体" w:cs="Times New Roman"/>
      <w:kern w:val="2"/>
      <w:sz w:val="18"/>
      <w:szCs w:val="18"/>
    </w:rPr>
  </w:style>
  <w:style w:type="character" w:customStyle="1" w:styleId="32">
    <w:name w:val="font11"/>
    <w:qFormat/>
    <w:uiPriority w:val="0"/>
    <w:rPr>
      <w:rFonts w:hint="eastAsia" w:ascii="宋体" w:hAnsi="宋体" w:eastAsia="宋体" w:cs="宋体"/>
      <w:color w:val="000000"/>
      <w:sz w:val="20"/>
      <w:szCs w:val="20"/>
      <w:u w:val="none"/>
    </w:rPr>
  </w:style>
  <w:style w:type="character" w:customStyle="1" w:styleId="33">
    <w:name w:val="批注框文本 Char"/>
    <w:basedOn w:val="22"/>
    <w:link w:val="14"/>
    <w:qFormat/>
    <w:uiPriority w:val="0"/>
    <w:rPr>
      <w:kern w:val="2"/>
      <w:sz w:val="18"/>
      <w:szCs w:val="18"/>
    </w:rPr>
  </w:style>
  <w:style w:type="paragraph" w:customStyle="1" w:styleId="34">
    <w:name w:val="列表段落1"/>
    <w:basedOn w:val="1"/>
    <w:qFormat/>
    <w:uiPriority w:val="34"/>
    <w:pPr>
      <w:ind w:firstLine="420" w:firstLineChars="200"/>
    </w:pPr>
    <w:rPr>
      <w:rFonts w:cs="黑体"/>
    </w:rPr>
  </w:style>
  <w:style w:type="paragraph" w:customStyle="1" w:styleId="35">
    <w:name w:val="p17"/>
    <w:basedOn w:val="1"/>
    <w:qFormat/>
    <w:uiPriority w:val="0"/>
    <w:pPr>
      <w:widowControl/>
      <w:ind w:firstLine="420"/>
    </w:pPr>
    <w:rPr>
      <w:rFonts w:cs="宋体"/>
      <w:kern w:val="0"/>
      <w:szCs w:val="21"/>
    </w:rPr>
  </w:style>
  <w:style w:type="paragraph" w:customStyle="1" w:styleId="3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AF0510-6561-429B-8E56-643E5FF13B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4788</Words>
  <Characters>27297</Characters>
  <Lines>227</Lines>
  <Paragraphs>64</Paragraphs>
  <TotalTime>1</TotalTime>
  <ScaleCrop>false</ScaleCrop>
  <LinksUpToDate>false</LinksUpToDate>
  <CharactersWithSpaces>32021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2018-12-17T05:48:00Z</dcterms:created>
  <dc:creator>缘扬1411018323</dc:creator>
  <cp:lastModifiedBy>Administrator</cp:lastModifiedBy>
  <cp:lastPrinted>2018-04-17T09:29:00Z</cp:lastPrinted>
  <dcterms:modified xsi:type="dcterms:W3CDTF">2019-12-13T08:28:46Z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